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9E2FB7" w14:textId="77777777" w:rsidR="00C64276" w:rsidRPr="00C64276" w:rsidRDefault="00C1400B" w:rsidP="00F36D3D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0599526E" w14:textId="77777777" w:rsidR="00C45BB4" w:rsidRDefault="00C45BB4" w:rsidP="00F36D3D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65FBFC5B" w14:textId="77777777" w:rsidR="00EC5BB9" w:rsidRPr="008A4F6F" w:rsidRDefault="00C64276" w:rsidP="00F36D3D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0F0D2A52" w14:textId="77777777" w:rsidR="00EC5BB9" w:rsidRPr="009333F9" w:rsidRDefault="00EC5BB9" w:rsidP="00F36D3D">
      <w:pPr>
        <w:shd w:val="clear" w:color="auto" w:fill="C2D69B" w:themeFill="accent3" w:themeFillTint="99"/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4"/>
          <w:szCs w:val="4"/>
        </w:rPr>
      </w:pPr>
    </w:p>
    <w:tbl>
      <w:tblPr>
        <w:tblW w:w="97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944"/>
      </w:tblGrid>
      <w:tr w:rsidR="00335F71" w:rsidRPr="00A625BD" w14:paraId="2CE7D287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1D378D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8D2B3" w14:textId="6B49D06D" w:rsidR="00335F71" w:rsidRPr="004344C8" w:rsidRDefault="00B538D6" w:rsidP="00850ED7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B538D6">
              <w:rPr>
                <w:rFonts w:ascii="Arial" w:hAnsi="Arial" w:cs="Arial"/>
                <w:b/>
                <w:szCs w:val="22"/>
              </w:rPr>
              <w:t>II/</w:t>
            </w:r>
            <w:r w:rsidR="000564BA">
              <w:rPr>
                <w:rFonts w:ascii="Arial" w:hAnsi="Arial" w:cs="Arial"/>
                <w:b/>
                <w:szCs w:val="22"/>
              </w:rPr>
              <w:t>403 Jestřebí,</w:t>
            </w:r>
            <w:r w:rsidR="00850ED7">
              <w:rPr>
                <w:rFonts w:ascii="Arial" w:hAnsi="Arial" w:cs="Arial"/>
                <w:b/>
                <w:szCs w:val="22"/>
              </w:rPr>
              <w:t xml:space="preserve"> průtah</w:t>
            </w:r>
            <w:r w:rsidR="00C0001D">
              <w:rPr>
                <w:rFonts w:ascii="Arial" w:hAnsi="Arial" w:cs="Arial"/>
                <w:b/>
                <w:szCs w:val="22"/>
              </w:rPr>
              <w:t>, opakované zadání</w:t>
            </w:r>
          </w:p>
        </w:tc>
      </w:tr>
      <w:tr w:rsidR="00335F71" w:rsidRPr="00A625BD" w14:paraId="10F88B99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4530B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72AA34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705AE2E7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0260E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0A6C6" w14:textId="77777777" w:rsidR="00335F71" w:rsidRPr="00853E33" w:rsidRDefault="00335F71" w:rsidP="005244C1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5EFB8F68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BFA41D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7D176" w14:textId="77777777" w:rsidR="00335F71" w:rsidRPr="00853E33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B538D6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6D07399D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B96637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93393A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7E69E7F9" w14:textId="77777777" w:rsidTr="00120E29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A2A2E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710126" w14:textId="77777777" w:rsidR="006F6AAF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2545F1DD" w14:textId="77777777" w:rsidR="00CD4757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075C63B6" w14:textId="77777777" w:rsidR="00CD4757" w:rsidRPr="00853E33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335F71" w:rsidRPr="00A625BD" w14:paraId="07A48D40" w14:textId="77777777" w:rsidTr="00120E29">
        <w:trPr>
          <w:trHeight w:val="663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537C3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691ADE" w14:textId="617AAE5C" w:rsidR="00B538D6" w:rsidRPr="00AE1D4B" w:rsidRDefault="00C0001D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</w:t>
            </w:r>
            <w:r w:rsidR="00424F93">
              <w:rPr>
                <w:rFonts w:ascii="Arial" w:hAnsi="Arial" w:cs="Arial"/>
                <w:sz w:val="22"/>
                <w:szCs w:val="22"/>
              </w:rPr>
              <w:t>v</w:t>
            </w:r>
            <w:r>
              <w:rPr>
                <w:rFonts w:ascii="Arial" w:hAnsi="Arial" w:cs="Arial"/>
                <w:sz w:val="22"/>
                <w:szCs w:val="22"/>
              </w:rPr>
              <w:t>á</w:t>
            </w:r>
          </w:p>
          <w:p w14:paraId="04388720" w14:textId="5296D55E" w:rsidR="00335F71" w:rsidRPr="00853E33" w:rsidRDefault="00B538D6" w:rsidP="00C0001D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 w:rsidRPr="00AE1D4B">
              <w:rPr>
                <w:rFonts w:ascii="Arial" w:hAnsi="Arial" w:cs="Arial"/>
                <w:sz w:val="22"/>
                <w:szCs w:val="22"/>
              </w:rPr>
              <w:t>tel.: +420 564 602 </w:t>
            </w:r>
            <w:r w:rsidR="00C0001D">
              <w:rPr>
                <w:rFonts w:ascii="Arial" w:hAnsi="Arial" w:cs="Arial"/>
                <w:sz w:val="22"/>
                <w:szCs w:val="22"/>
              </w:rPr>
              <w:t>378</w:t>
            </w:r>
            <w:r w:rsidRPr="00AE1D4B"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hyperlink r:id="rId8" w:history="1">
              <w:r w:rsidR="00640897" w:rsidRPr="00FA67C1">
                <w:rPr>
                  <w:rStyle w:val="Hypertextovodkaz"/>
                  <w:rFonts w:ascii="Arial" w:hAnsi="Arial" w:cs="Arial"/>
                  <w:sz w:val="22"/>
                  <w:szCs w:val="22"/>
                </w:rPr>
                <w:t>prochazkova.l@kr-vysocina.cz</w:t>
              </w:r>
            </w:hyperlink>
            <w:r w:rsidR="00850ED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D67C7B" w:rsidRPr="00A625BD" w14:paraId="1E3B66A0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B93AF" w14:textId="77777777" w:rsidR="00D67C7B" w:rsidRPr="00083439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ED8CB1" w14:textId="77777777" w:rsidR="00D67C7B" w:rsidRPr="00275089" w:rsidRDefault="00850ED7" w:rsidP="00850ED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75089">
              <w:rPr>
                <w:rFonts w:ascii="Arial" w:hAnsi="Arial" w:cs="Arial"/>
                <w:b/>
                <w:sz w:val="22"/>
                <w:szCs w:val="22"/>
              </w:rPr>
              <w:t>Město Brtnice</w:t>
            </w:r>
          </w:p>
        </w:tc>
      </w:tr>
      <w:tr w:rsidR="00D67C7B" w:rsidRPr="00A625BD" w14:paraId="208FFF0E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DCD992" w14:textId="77777777" w:rsidR="00D67C7B" w:rsidRPr="00083439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3A0E4" w14:textId="77777777" w:rsidR="00D67C7B" w:rsidRPr="00275089" w:rsidRDefault="00B538D6" w:rsidP="00850ED7">
            <w:pPr>
              <w:rPr>
                <w:rFonts w:ascii="Arial" w:hAnsi="Arial" w:cs="Arial"/>
                <w:sz w:val="22"/>
                <w:szCs w:val="22"/>
              </w:rPr>
            </w:pPr>
            <w:r w:rsidRPr="00275089">
              <w:rPr>
                <w:rFonts w:ascii="Arial" w:hAnsi="Arial" w:cs="Arial"/>
                <w:sz w:val="22"/>
                <w:szCs w:val="22"/>
              </w:rPr>
              <w:t>002</w:t>
            </w:r>
            <w:r w:rsidR="00850ED7" w:rsidRPr="00275089">
              <w:rPr>
                <w:rFonts w:ascii="Arial" w:hAnsi="Arial" w:cs="Arial"/>
                <w:sz w:val="22"/>
                <w:szCs w:val="22"/>
              </w:rPr>
              <w:t>85668</w:t>
            </w:r>
          </w:p>
        </w:tc>
      </w:tr>
      <w:tr w:rsidR="00D67C7B" w:rsidRPr="00A625BD" w14:paraId="5AEF4526" w14:textId="77777777" w:rsidTr="00120E29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886B7" w14:textId="77777777" w:rsidR="00D67C7B" w:rsidRPr="00083439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4F106" w14:textId="77777777" w:rsidR="00D67C7B" w:rsidRPr="00275089" w:rsidRDefault="00850ED7" w:rsidP="00850ED7">
            <w:pPr>
              <w:rPr>
                <w:rFonts w:ascii="Arial" w:hAnsi="Arial" w:cs="Arial"/>
                <w:sz w:val="22"/>
                <w:szCs w:val="22"/>
              </w:rPr>
            </w:pPr>
            <w:r w:rsidRPr="00275089">
              <w:rPr>
                <w:rFonts w:ascii="Arial" w:hAnsi="Arial" w:cs="Arial"/>
                <w:sz w:val="22"/>
                <w:szCs w:val="22"/>
              </w:rPr>
              <w:t>Náměstí Svobody 379, 588 32 Brtnice</w:t>
            </w:r>
          </w:p>
        </w:tc>
      </w:tr>
      <w:tr w:rsidR="00D67C7B" w:rsidRPr="00A625BD" w14:paraId="6DD7BF68" w14:textId="77777777" w:rsidTr="00120E29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3CB812" w14:textId="77777777" w:rsidR="00D67C7B" w:rsidRPr="00083439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 w:rsidRPr="00083439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083439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6E4848" w14:textId="622395F7" w:rsidR="00D67C7B" w:rsidRPr="00275089" w:rsidRDefault="00616867" w:rsidP="002903D3">
            <w:pPr>
              <w:rPr>
                <w:rFonts w:ascii="Arial" w:hAnsi="Arial" w:cs="Arial"/>
                <w:sz w:val="22"/>
                <w:szCs w:val="22"/>
              </w:rPr>
            </w:pPr>
            <w:r w:rsidRPr="00616867">
              <w:rPr>
                <w:rFonts w:ascii="Arial" w:hAnsi="Arial" w:cs="Arial"/>
                <w:sz w:val="22"/>
                <w:szCs w:val="22"/>
              </w:rPr>
              <w:t>Ing</w:t>
            </w:r>
            <w:r>
              <w:rPr>
                <w:rFonts w:ascii="Arial" w:hAnsi="Arial" w:cs="Arial"/>
                <w:sz w:val="22"/>
                <w:szCs w:val="22"/>
              </w:rPr>
              <w:t>. Jan</w:t>
            </w:r>
            <w:bookmarkStart w:id="0" w:name="_GoBack"/>
            <w:bookmarkEnd w:id="0"/>
            <w:r>
              <w:rPr>
                <w:rFonts w:ascii="Arial" w:hAnsi="Arial" w:cs="Arial"/>
                <w:sz w:val="22"/>
                <w:szCs w:val="22"/>
              </w:rPr>
              <w:t xml:space="preserve"> Přibylem, starosta</w:t>
            </w:r>
          </w:p>
        </w:tc>
      </w:tr>
    </w:tbl>
    <w:p w14:paraId="08D6DD0A" w14:textId="7271AF79" w:rsidR="00335F71" w:rsidRPr="00786BB8" w:rsidRDefault="002D709E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Na základě smlouvy o společném postupu zadavatelů se výše uvedení zadavatelé dohodli, že na financování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veřejné zakázky </w:t>
      </w:r>
      <w:r w:rsidRPr="00786BB8">
        <w:rPr>
          <w:rFonts w:ascii="Arial" w:hAnsi="Arial" w:cs="Arial"/>
          <w:b w:val="0"/>
          <w:sz w:val="22"/>
          <w:szCs w:val="22"/>
        </w:rPr>
        <w:t>II/</w:t>
      </w:r>
      <w:r w:rsidR="000564BA">
        <w:rPr>
          <w:rFonts w:ascii="Arial" w:hAnsi="Arial" w:cs="Arial"/>
          <w:b w:val="0"/>
          <w:sz w:val="22"/>
          <w:szCs w:val="22"/>
        </w:rPr>
        <w:t xml:space="preserve">403 Jestřebí, </w:t>
      </w:r>
      <w:r w:rsidR="00850ED7">
        <w:rPr>
          <w:rFonts w:ascii="Arial" w:hAnsi="Arial" w:cs="Arial"/>
          <w:b w:val="0"/>
          <w:sz w:val="22"/>
          <w:szCs w:val="22"/>
        </w:rPr>
        <w:t>průtah</w:t>
      </w:r>
      <w:r w:rsidR="00640897">
        <w:rPr>
          <w:rFonts w:ascii="Arial" w:hAnsi="Arial" w:cs="Arial"/>
          <w:b w:val="0"/>
          <w:sz w:val="22"/>
          <w:szCs w:val="22"/>
        </w:rPr>
        <w:t>, opakované zadání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se budou podílet v rozsahu prací vymezených </w:t>
      </w:r>
      <w:r w:rsidRPr="00786BB8">
        <w:rPr>
          <w:rFonts w:ascii="Arial" w:hAnsi="Arial" w:cs="Arial"/>
          <w:b w:val="0"/>
          <w:bCs w:val="0"/>
          <w:spacing w:val="4"/>
          <w:sz w:val="22"/>
          <w:szCs w:val="22"/>
        </w:rPr>
        <w:t xml:space="preserve">projektovou </w:t>
      </w: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dokumentací, resp. výkazy výměr vypracovanými pro tyto účely pro jednotlivé investory, kterými budou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zadavatel č. 1 a zadavatel č. 2 dle samostatné smlouvy o dílo, uzavřené s dodavatelem vybraným na základě </w:t>
      </w:r>
      <w:r w:rsidRPr="00786BB8">
        <w:rPr>
          <w:rFonts w:ascii="Arial" w:hAnsi="Arial" w:cs="Arial"/>
          <w:b w:val="0"/>
          <w:bCs w:val="0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14:paraId="35EA7D9C" w14:textId="77777777" w:rsidR="008A13F2" w:rsidRPr="008A13F2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12"/>
          <w:szCs w:val="12"/>
        </w:rPr>
      </w:pPr>
    </w:p>
    <w:p w14:paraId="7FE18D41" w14:textId="77777777"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14:paraId="0AF4F0AD" w14:textId="77777777"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2D709E" w:rsidRPr="002D709E">
        <w:rPr>
          <w:rFonts w:ascii="Arial" w:hAnsi="Arial" w:cs="Arial"/>
          <w:sz w:val="22"/>
          <w:szCs w:val="22"/>
        </w:rPr>
        <w:t>II/</w:t>
      </w:r>
      <w:r w:rsidR="00CD5097">
        <w:rPr>
          <w:rFonts w:ascii="Arial" w:hAnsi="Arial" w:cs="Arial"/>
          <w:sz w:val="22"/>
          <w:szCs w:val="22"/>
        </w:rPr>
        <w:t xml:space="preserve">403 Jestřebí, </w:t>
      </w:r>
      <w:r w:rsidR="00850ED7">
        <w:rPr>
          <w:rFonts w:ascii="Arial" w:hAnsi="Arial" w:cs="Arial"/>
          <w:sz w:val="22"/>
          <w:szCs w:val="22"/>
        </w:rPr>
        <w:t>průtah</w:t>
      </w:r>
      <w:r>
        <w:rPr>
          <w:rFonts w:ascii="Arial" w:hAnsi="Arial" w:cs="Arial"/>
          <w:sz w:val="22"/>
          <w:szCs w:val="22"/>
        </w:rPr>
        <w:t xml:space="preserve"> v rozsahu stanoveném touto zadávací dokumentací.</w:t>
      </w:r>
    </w:p>
    <w:p w14:paraId="71C1CC46" w14:textId="77777777"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32C698CF" w14:textId="77777777"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07E10EF3" w14:textId="77777777" w:rsidR="002D709E" w:rsidRPr="00424829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 w:rsidR="009739D5">
        <w:rPr>
          <w:rFonts w:ascii="Arial" w:hAnsi="Arial" w:cs="Arial"/>
          <w:sz w:val="22"/>
          <w:szCs w:val="22"/>
        </w:rPr>
        <w:t>ro zadavatele č. 1 budou provedeny stavební práce</w:t>
      </w:r>
      <w:r w:rsidRPr="00424829">
        <w:rPr>
          <w:rFonts w:ascii="Arial" w:hAnsi="Arial" w:cs="Arial"/>
          <w:sz w:val="22"/>
          <w:szCs w:val="22"/>
        </w:rPr>
        <w:t xml:space="preserve"> spočívající zejména v provedení rekonstrukce silnice II/</w:t>
      </w:r>
      <w:r w:rsidR="00850ED7">
        <w:rPr>
          <w:rFonts w:ascii="Arial" w:hAnsi="Arial" w:cs="Arial"/>
          <w:sz w:val="22"/>
          <w:szCs w:val="22"/>
        </w:rPr>
        <w:t>403</w:t>
      </w:r>
      <w:r w:rsidRPr="00424829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424829">
        <w:rPr>
          <w:rFonts w:ascii="Arial" w:hAnsi="Arial" w:cs="Arial"/>
          <w:sz w:val="22"/>
          <w:szCs w:val="22"/>
        </w:rPr>
        <w:t>intravilánu</w:t>
      </w:r>
      <w:proofErr w:type="spellEnd"/>
      <w:r w:rsidRPr="00424829">
        <w:rPr>
          <w:rFonts w:ascii="Arial" w:hAnsi="Arial" w:cs="Arial"/>
          <w:sz w:val="22"/>
          <w:szCs w:val="22"/>
        </w:rPr>
        <w:t xml:space="preserve"> obce </w:t>
      </w:r>
      <w:r w:rsidR="00850ED7">
        <w:rPr>
          <w:rFonts w:ascii="Arial" w:hAnsi="Arial" w:cs="Arial"/>
          <w:sz w:val="22"/>
          <w:szCs w:val="22"/>
        </w:rPr>
        <w:t>Jestřebí (místní část města Brtnice)</w:t>
      </w:r>
      <w:r w:rsidRPr="00424829">
        <w:rPr>
          <w:rFonts w:ascii="Arial" w:hAnsi="Arial" w:cs="Arial"/>
          <w:sz w:val="22"/>
          <w:szCs w:val="22"/>
        </w:rPr>
        <w:t xml:space="preserve"> v délce cc</w:t>
      </w:r>
      <w:r w:rsidR="00A4113E">
        <w:rPr>
          <w:rFonts w:ascii="Arial" w:hAnsi="Arial" w:cs="Arial"/>
          <w:sz w:val="22"/>
          <w:szCs w:val="22"/>
        </w:rPr>
        <w:t xml:space="preserve">a </w:t>
      </w:r>
      <w:r w:rsidR="00FD3658">
        <w:rPr>
          <w:rFonts w:ascii="Arial" w:hAnsi="Arial" w:cs="Arial"/>
          <w:sz w:val="22"/>
          <w:szCs w:val="22"/>
        </w:rPr>
        <w:br/>
      </w:r>
      <w:r w:rsidR="00A4113E">
        <w:rPr>
          <w:rFonts w:ascii="Arial" w:hAnsi="Arial" w:cs="Arial"/>
          <w:sz w:val="22"/>
          <w:szCs w:val="22"/>
        </w:rPr>
        <w:t>795</w:t>
      </w:r>
      <w:r w:rsidR="00134369">
        <w:rPr>
          <w:rFonts w:ascii="Arial" w:hAnsi="Arial" w:cs="Arial"/>
          <w:sz w:val="22"/>
          <w:szCs w:val="22"/>
        </w:rPr>
        <w:t xml:space="preserve"> </w:t>
      </w:r>
      <w:r w:rsidRPr="00424829">
        <w:rPr>
          <w:rFonts w:ascii="Arial" w:hAnsi="Arial" w:cs="Arial"/>
          <w:sz w:val="22"/>
          <w:szCs w:val="22"/>
        </w:rPr>
        <w:t>m. Silnice je navržena v kategorii M</w:t>
      </w:r>
      <w:r w:rsidR="00A4113E">
        <w:rPr>
          <w:rFonts w:ascii="Arial" w:hAnsi="Arial" w:cs="Arial"/>
          <w:sz w:val="22"/>
          <w:szCs w:val="22"/>
        </w:rPr>
        <w:t>S</w:t>
      </w:r>
      <w:r w:rsidRPr="00424829">
        <w:rPr>
          <w:rFonts w:ascii="Arial" w:hAnsi="Arial" w:cs="Arial"/>
          <w:sz w:val="22"/>
          <w:szCs w:val="22"/>
        </w:rPr>
        <w:t xml:space="preserve">2 </w:t>
      </w:r>
      <w:r w:rsidR="00A4113E">
        <w:rPr>
          <w:rFonts w:ascii="Arial" w:hAnsi="Arial" w:cs="Arial"/>
          <w:sz w:val="22"/>
          <w:szCs w:val="22"/>
        </w:rPr>
        <w:t>6,5</w:t>
      </w:r>
      <w:r w:rsidRPr="00424829">
        <w:rPr>
          <w:rFonts w:ascii="Arial" w:hAnsi="Arial" w:cs="Arial"/>
          <w:sz w:val="22"/>
          <w:szCs w:val="22"/>
        </w:rPr>
        <w:t>/</w:t>
      </w:r>
      <w:r w:rsidR="00A4113E">
        <w:rPr>
          <w:rFonts w:ascii="Arial" w:hAnsi="Arial" w:cs="Arial"/>
          <w:sz w:val="22"/>
          <w:szCs w:val="22"/>
        </w:rPr>
        <w:t>5,5</w:t>
      </w:r>
      <w:r w:rsidRPr="00424829">
        <w:rPr>
          <w:rFonts w:ascii="Arial" w:hAnsi="Arial" w:cs="Arial"/>
          <w:sz w:val="22"/>
          <w:szCs w:val="22"/>
        </w:rPr>
        <w:t xml:space="preserve">/50, </w:t>
      </w:r>
      <w:r w:rsidR="00A4113E">
        <w:rPr>
          <w:rFonts w:ascii="Arial" w:hAnsi="Arial" w:cs="Arial"/>
          <w:sz w:val="22"/>
          <w:szCs w:val="22"/>
        </w:rPr>
        <w:t xml:space="preserve">pouze </w:t>
      </w:r>
      <w:r w:rsidR="001A6246">
        <w:rPr>
          <w:rFonts w:ascii="Arial" w:hAnsi="Arial" w:cs="Arial"/>
          <w:sz w:val="22"/>
          <w:szCs w:val="22"/>
        </w:rPr>
        <w:t xml:space="preserve">v jediném místě v km 0,615 </w:t>
      </w:r>
      <w:r w:rsidR="00A4113E">
        <w:rPr>
          <w:rFonts w:ascii="Arial" w:hAnsi="Arial" w:cs="Arial"/>
          <w:sz w:val="22"/>
          <w:szCs w:val="22"/>
        </w:rPr>
        <w:t>lokálně zúžená vlivem stávající zástavby</w:t>
      </w:r>
      <w:r w:rsidRPr="00424829">
        <w:rPr>
          <w:rFonts w:ascii="Arial" w:hAnsi="Arial" w:cs="Arial"/>
          <w:sz w:val="22"/>
          <w:szCs w:val="22"/>
        </w:rPr>
        <w:t xml:space="preserve">. Je navrženo </w:t>
      </w:r>
      <w:r w:rsidR="00A4113E">
        <w:rPr>
          <w:rFonts w:ascii="Arial" w:hAnsi="Arial" w:cs="Arial"/>
          <w:sz w:val="22"/>
          <w:szCs w:val="22"/>
        </w:rPr>
        <w:t xml:space="preserve">odfrézování asfaltového krytu </w:t>
      </w:r>
      <w:r w:rsidRPr="00424829">
        <w:rPr>
          <w:rFonts w:ascii="Arial" w:hAnsi="Arial" w:cs="Arial"/>
          <w:sz w:val="22"/>
          <w:szCs w:val="22"/>
        </w:rPr>
        <w:t>s následnou pokládkou dvou asfaltobetonových vrstev.</w:t>
      </w:r>
    </w:p>
    <w:p w14:paraId="60073A45" w14:textId="77777777" w:rsidR="002D709E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 xml:space="preserve">Součástí je rovněž </w:t>
      </w:r>
      <w:r w:rsidR="001A6246">
        <w:rPr>
          <w:rFonts w:ascii="Arial" w:hAnsi="Arial" w:cs="Arial"/>
          <w:sz w:val="22"/>
          <w:szCs w:val="22"/>
        </w:rPr>
        <w:t>zkapacitnění</w:t>
      </w:r>
      <w:r w:rsidRPr="00424829">
        <w:rPr>
          <w:rFonts w:ascii="Arial" w:hAnsi="Arial" w:cs="Arial"/>
          <w:sz w:val="22"/>
          <w:szCs w:val="22"/>
        </w:rPr>
        <w:t xml:space="preserve"> </w:t>
      </w:r>
      <w:r w:rsidR="001A6246">
        <w:rPr>
          <w:rFonts w:ascii="Arial" w:hAnsi="Arial" w:cs="Arial"/>
          <w:sz w:val="22"/>
          <w:szCs w:val="22"/>
        </w:rPr>
        <w:t xml:space="preserve">stávajícího </w:t>
      </w:r>
      <w:r w:rsidRPr="00424829">
        <w:rPr>
          <w:rFonts w:ascii="Arial" w:hAnsi="Arial" w:cs="Arial"/>
          <w:sz w:val="22"/>
          <w:szCs w:val="22"/>
        </w:rPr>
        <w:t>propustku</w:t>
      </w:r>
      <w:r w:rsidR="001A6246">
        <w:rPr>
          <w:rFonts w:ascii="Arial" w:hAnsi="Arial" w:cs="Arial"/>
          <w:sz w:val="22"/>
          <w:szCs w:val="22"/>
        </w:rPr>
        <w:t xml:space="preserve"> ev.</w:t>
      </w:r>
      <w:r w:rsidR="002B4D5C">
        <w:rPr>
          <w:rFonts w:ascii="Arial" w:hAnsi="Arial" w:cs="Arial"/>
          <w:sz w:val="22"/>
          <w:szCs w:val="22"/>
        </w:rPr>
        <w:t xml:space="preserve"> </w:t>
      </w:r>
      <w:r w:rsidR="001A6246">
        <w:rPr>
          <w:rFonts w:ascii="Arial" w:hAnsi="Arial" w:cs="Arial"/>
          <w:sz w:val="22"/>
          <w:szCs w:val="22"/>
        </w:rPr>
        <w:t>č.</w:t>
      </w:r>
      <w:r w:rsidR="004B65DC">
        <w:rPr>
          <w:rFonts w:ascii="Arial" w:hAnsi="Arial" w:cs="Arial"/>
          <w:sz w:val="22"/>
          <w:szCs w:val="22"/>
        </w:rPr>
        <w:t xml:space="preserve"> </w:t>
      </w:r>
      <w:r w:rsidR="001A6246">
        <w:rPr>
          <w:rFonts w:ascii="Arial" w:hAnsi="Arial" w:cs="Arial"/>
          <w:sz w:val="22"/>
          <w:szCs w:val="22"/>
        </w:rPr>
        <w:t xml:space="preserve">403-030P (rámová prefabrikovaná konstrukce), úprava části jednotné kanalizace a přeložení STL plynovodní přípojky. </w:t>
      </w:r>
    </w:p>
    <w:p w14:paraId="10535989" w14:textId="77777777" w:rsidR="002D709E" w:rsidRDefault="009739D5" w:rsidP="002D709E">
      <w:pPr>
        <w:pStyle w:val="Zkladntextodsazen3"/>
        <w:ind w:left="0" w:firstLine="0"/>
        <w:rPr>
          <w:szCs w:val="22"/>
        </w:rPr>
      </w:pPr>
      <w:r>
        <w:rPr>
          <w:spacing w:val="-6"/>
          <w:szCs w:val="22"/>
        </w:rPr>
        <w:t>Stavba bude realizována</w:t>
      </w:r>
      <w:r w:rsidR="002D709E" w:rsidRPr="00985B00">
        <w:rPr>
          <w:spacing w:val="-6"/>
          <w:szCs w:val="22"/>
        </w:rPr>
        <w:t xml:space="preserve"> </w:t>
      </w:r>
      <w:r w:rsidR="002D709E" w:rsidRPr="00081FED">
        <w:rPr>
          <w:szCs w:val="22"/>
        </w:rPr>
        <w:t>dle projektové dokumentace „II/</w:t>
      </w:r>
      <w:r w:rsidR="001A6246">
        <w:rPr>
          <w:szCs w:val="22"/>
        </w:rPr>
        <w:t xml:space="preserve">403 Jestřebí </w:t>
      </w:r>
      <w:r w:rsidR="00E22A89">
        <w:rPr>
          <w:szCs w:val="22"/>
        </w:rPr>
        <w:t>–</w:t>
      </w:r>
      <w:r w:rsidR="001A6246">
        <w:rPr>
          <w:szCs w:val="22"/>
        </w:rPr>
        <w:t xml:space="preserve"> průtah</w:t>
      </w:r>
      <w:r w:rsidR="00E22A89">
        <w:rPr>
          <w:szCs w:val="22"/>
        </w:rPr>
        <w:t>“</w:t>
      </w:r>
      <w:r w:rsidR="002D709E" w:rsidRPr="00081FED">
        <w:rPr>
          <w:szCs w:val="22"/>
        </w:rPr>
        <w:t>, vypracované v</w:t>
      </w:r>
      <w:r w:rsidR="00E22A89">
        <w:rPr>
          <w:szCs w:val="22"/>
        </w:rPr>
        <w:t> říjnu 2021</w:t>
      </w:r>
      <w:r w:rsidR="002D709E" w:rsidRPr="00081FED">
        <w:rPr>
          <w:szCs w:val="22"/>
        </w:rPr>
        <w:t xml:space="preserve"> ve stupni projektové dokumentace pro provádění stavby (dále jen „PDPS“) </w:t>
      </w:r>
      <w:r w:rsidR="002D709E">
        <w:rPr>
          <w:szCs w:val="22"/>
        </w:rPr>
        <w:t>společností</w:t>
      </w:r>
      <w:r w:rsidR="002D709E" w:rsidRPr="00081FED">
        <w:rPr>
          <w:szCs w:val="22"/>
        </w:rPr>
        <w:t xml:space="preserve"> </w:t>
      </w:r>
      <w:r w:rsidR="00E22A89">
        <w:rPr>
          <w:szCs w:val="22"/>
        </w:rPr>
        <w:lastRenderedPageBreak/>
        <w:t xml:space="preserve">DOPRAPLAN s.r.o., Přemyslovců 462/6, 709 00 Ostrava – Mariánské Hory, IČO 05411572 </w:t>
      </w:r>
      <w:r w:rsidR="002D709E" w:rsidRPr="00081FED">
        <w:rPr>
          <w:szCs w:val="22"/>
        </w:rPr>
        <w:t>v členění stavebních objektů</w:t>
      </w:r>
      <w:r w:rsidR="002D709E">
        <w:rPr>
          <w:szCs w:val="22"/>
        </w:rPr>
        <w:t xml:space="preserve"> </w:t>
      </w:r>
      <w:r w:rsidR="002D709E" w:rsidRPr="00B50AB2">
        <w:rPr>
          <w:spacing w:val="-4"/>
          <w:szCs w:val="22"/>
        </w:rPr>
        <w:t>(dle soupisu</w:t>
      </w:r>
      <w:r w:rsidR="002D709E">
        <w:rPr>
          <w:szCs w:val="22"/>
        </w:rPr>
        <w:t xml:space="preserve"> prací)</w:t>
      </w:r>
      <w:r w:rsidR="002D709E" w:rsidRPr="00985B00">
        <w:rPr>
          <w:spacing w:val="-4"/>
          <w:szCs w:val="22"/>
        </w:rPr>
        <w:t>, jejichž investorem</w:t>
      </w:r>
      <w:r w:rsidR="002D709E" w:rsidRPr="00B50AB2">
        <w:rPr>
          <w:spacing w:val="-4"/>
          <w:szCs w:val="22"/>
        </w:rPr>
        <w:t xml:space="preserve"> je zadavatel č. 1, tj. Kraj Vysočina</w:t>
      </w:r>
      <w:r w:rsidR="002D709E" w:rsidRPr="00AF33E0">
        <w:rPr>
          <w:szCs w:val="22"/>
        </w:rPr>
        <w:t>:</w:t>
      </w:r>
    </w:p>
    <w:p w14:paraId="689EA8E5" w14:textId="77777777" w:rsidR="002D709E" w:rsidRDefault="002D709E" w:rsidP="002D709E">
      <w:pPr>
        <w:pStyle w:val="Zkladntextodsazen3"/>
        <w:ind w:left="0" w:firstLine="0"/>
        <w:rPr>
          <w:szCs w:val="22"/>
        </w:rPr>
      </w:pPr>
    </w:p>
    <w:p w14:paraId="29C24803" w14:textId="77777777" w:rsidR="002D709E" w:rsidRDefault="002D709E" w:rsidP="009739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001 </w:t>
      </w:r>
      <w:r w:rsidR="00E22A89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Vedlejší a ostatní náklady </w:t>
      </w:r>
    </w:p>
    <w:p w14:paraId="1D51675F" w14:textId="77777777" w:rsidR="002D709E" w:rsidRPr="00081FED" w:rsidRDefault="00E22A89" w:rsidP="009739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101 </w:t>
      </w:r>
      <w:r>
        <w:rPr>
          <w:rFonts w:ascii="Arial" w:hAnsi="Arial" w:cs="Arial"/>
          <w:sz w:val="22"/>
          <w:szCs w:val="22"/>
        </w:rPr>
        <w:tab/>
        <w:t>Komunikace II/403</w:t>
      </w:r>
      <w:r w:rsidR="002D709E" w:rsidRPr="00081FED">
        <w:rPr>
          <w:rFonts w:ascii="Arial" w:hAnsi="Arial" w:cs="Arial"/>
          <w:sz w:val="22"/>
          <w:szCs w:val="22"/>
        </w:rPr>
        <w:t xml:space="preserve"> </w:t>
      </w:r>
    </w:p>
    <w:p w14:paraId="56F7578A" w14:textId="77777777" w:rsidR="002D709E" w:rsidRPr="00081FED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 xml:space="preserve">SO 101.1 </w:t>
      </w:r>
      <w:r w:rsidR="00E22A89">
        <w:rPr>
          <w:rFonts w:ascii="Arial" w:hAnsi="Arial" w:cs="Arial"/>
          <w:sz w:val="22"/>
          <w:szCs w:val="22"/>
        </w:rPr>
        <w:tab/>
        <w:t>Propustek ev.</w:t>
      </w:r>
      <w:r w:rsidR="002E7671">
        <w:rPr>
          <w:rFonts w:ascii="Arial" w:hAnsi="Arial" w:cs="Arial"/>
          <w:sz w:val="22"/>
          <w:szCs w:val="22"/>
        </w:rPr>
        <w:t xml:space="preserve"> </w:t>
      </w:r>
      <w:r w:rsidR="00E22A89">
        <w:rPr>
          <w:rFonts w:ascii="Arial" w:hAnsi="Arial" w:cs="Arial"/>
          <w:sz w:val="22"/>
          <w:szCs w:val="22"/>
        </w:rPr>
        <w:t>č.</w:t>
      </w:r>
      <w:r w:rsidR="002E7671">
        <w:rPr>
          <w:rFonts w:ascii="Arial" w:hAnsi="Arial" w:cs="Arial"/>
          <w:sz w:val="22"/>
          <w:szCs w:val="22"/>
        </w:rPr>
        <w:t xml:space="preserve"> </w:t>
      </w:r>
      <w:r w:rsidR="00E22A89">
        <w:rPr>
          <w:rFonts w:ascii="Arial" w:hAnsi="Arial" w:cs="Arial"/>
          <w:sz w:val="22"/>
          <w:szCs w:val="22"/>
        </w:rPr>
        <w:t>403-030P</w:t>
      </w:r>
      <w:r w:rsidRPr="00081FED">
        <w:rPr>
          <w:rFonts w:ascii="Arial" w:hAnsi="Arial" w:cs="Arial"/>
          <w:sz w:val="22"/>
          <w:szCs w:val="22"/>
        </w:rPr>
        <w:t xml:space="preserve"> </w:t>
      </w:r>
    </w:p>
    <w:p w14:paraId="69E63387" w14:textId="77777777" w:rsidR="002D709E" w:rsidRPr="00081FED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>SO 1</w:t>
      </w:r>
      <w:r w:rsidR="00E22A89">
        <w:rPr>
          <w:rFonts w:ascii="Arial" w:hAnsi="Arial" w:cs="Arial"/>
          <w:sz w:val="22"/>
          <w:szCs w:val="22"/>
        </w:rPr>
        <w:t>81</w:t>
      </w:r>
      <w:r w:rsidRPr="00081FED">
        <w:rPr>
          <w:rFonts w:ascii="Arial" w:hAnsi="Arial" w:cs="Arial"/>
          <w:sz w:val="22"/>
          <w:szCs w:val="22"/>
        </w:rPr>
        <w:t xml:space="preserve"> </w:t>
      </w:r>
      <w:r w:rsidR="00E22A89">
        <w:rPr>
          <w:rFonts w:ascii="Arial" w:hAnsi="Arial" w:cs="Arial"/>
          <w:sz w:val="22"/>
          <w:szCs w:val="22"/>
        </w:rPr>
        <w:tab/>
        <w:t>Dopravně inženýrské opatření</w:t>
      </w:r>
    </w:p>
    <w:p w14:paraId="3F53BF8C" w14:textId="77777777" w:rsidR="002D709E" w:rsidRDefault="002D709E" w:rsidP="009739D5">
      <w:pPr>
        <w:rPr>
          <w:rFonts w:ascii="Arial" w:hAnsi="Arial" w:cs="Arial"/>
          <w:sz w:val="22"/>
          <w:szCs w:val="22"/>
        </w:rPr>
      </w:pPr>
      <w:r w:rsidRPr="00081FED">
        <w:rPr>
          <w:rFonts w:ascii="Arial" w:hAnsi="Arial" w:cs="Arial"/>
          <w:sz w:val="22"/>
          <w:szCs w:val="22"/>
        </w:rPr>
        <w:t xml:space="preserve">SO </w:t>
      </w:r>
      <w:r w:rsidR="00E22A89">
        <w:rPr>
          <w:rFonts w:ascii="Arial" w:hAnsi="Arial" w:cs="Arial"/>
          <w:sz w:val="22"/>
          <w:szCs w:val="22"/>
        </w:rPr>
        <w:t>301.1</w:t>
      </w:r>
      <w:r w:rsidR="00E22A89">
        <w:rPr>
          <w:rFonts w:ascii="Arial" w:hAnsi="Arial" w:cs="Arial"/>
          <w:sz w:val="22"/>
          <w:szCs w:val="22"/>
        </w:rPr>
        <w:tab/>
        <w:t>Úprava stávající jednotné kanalizace – úsek Š1-Š2 (Kraj Vysočina)</w:t>
      </w:r>
    </w:p>
    <w:p w14:paraId="0AE84138" w14:textId="77777777" w:rsidR="00E22A89" w:rsidRPr="00081FED" w:rsidRDefault="00E22A89" w:rsidP="009739D5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501</w:t>
      </w:r>
      <w:r>
        <w:rPr>
          <w:rFonts w:ascii="Arial" w:hAnsi="Arial" w:cs="Arial"/>
          <w:sz w:val="22"/>
          <w:szCs w:val="22"/>
        </w:rPr>
        <w:tab/>
        <w:t>Přeložka STL plynovodní přípojky</w:t>
      </w:r>
    </w:p>
    <w:p w14:paraId="0B1AAF47" w14:textId="77777777" w:rsidR="002D709E" w:rsidRDefault="002D709E" w:rsidP="002D709E">
      <w:pPr>
        <w:pStyle w:val="Zkladntextodsazen3"/>
        <w:ind w:left="0" w:firstLine="0"/>
        <w:rPr>
          <w:color w:val="FF0000"/>
          <w:szCs w:val="22"/>
          <w:lang w:eastAsia="ar-SA"/>
        </w:rPr>
      </w:pPr>
    </w:p>
    <w:p w14:paraId="19C2F789" w14:textId="77777777" w:rsidR="009065A8" w:rsidRPr="00AF56D2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</w:t>
      </w:r>
      <w:r>
        <w:rPr>
          <w:rFonts w:ascii="Arial" w:hAnsi="Arial" w:cs="Arial"/>
          <w:spacing w:val="6"/>
          <w:sz w:val="22"/>
          <w:szCs w:val="22"/>
        </w:rPr>
        <w:t>provozu na silnici II/</w:t>
      </w:r>
      <w:r w:rsidR="00E22A89">
        <w:rPr>
          <w:rFonts w:ascii="Arial" w:hAnsi="Arial" w:cs="Arial"/>
          <w:spacing w:val="6"/>
          <w:sz w:val="22"/>
          <w:szCs w:val="22"/>
        </w:rPr>
        <w:t>403</w:t>
      </w:r>
      <w:r>
        <w:rPr>
          <w:rFonts w:ascii="Arial" w:hAnsi="Arial" w:cs="Arial"/>
          <w:spacing w:val="6"/>
          <w:sz w:val="22"/>
          <w:szCs w:val="22"/>
        </w:rPr>
        <w:t xml:space="preserve">. Stavba bude realizována postupně po jednotlivých úsecích. </w:t>
      </w:r>
      <w:r>
        <w:rPr>
          <w:rFonts w:ascii="Arial" w:hAnsi="Arial" w:cs="Arial"/>
          <w:spacing w:val="-6"/>
          <w:sz w:val="22"/>
          <w:szCs w:val="22"/>
        </w:rPr>
        <w:t>Vybraný dodavatel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obvyklým,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679EF3D8" w14:textId="77777777" w:rsidR="00EF08EF" w:rsidRDefault="00EF08EF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7FDA4B2" w14:textId="77777777" w:rsidR="009065A8" w:rsidRPr="00FD3658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FD3658">
        <w:rPr>
          <w:rFonts w:ascii="Arial" w:hAnsi="Arial" w:cs="Arial"/>
          <w:b/>
          <w:sz w:val="22"/>
          <w:szCs w:val="22"/>
        </w:rPr>
        <w:t>P</w:t>
      </w:r>
      <w:r w:rsidR="009065A8" w:rsidRPr="00FD3658">
        <w:rPr>
          <w:rFonts w:ascii="Arial" w:hAnsi="Arial" w:cs="Arial"/>
          <w:b/>
          <w:sz w:val="22"/>
          <w:szCs w:val="22"/>
        </w:rPr>
        <w:t xml:space="preserve">ředmět plnění pro </w:t>
      </w:r>
      <w:r w:rsidRPr="00FD3658">
        <w:rPr>
          <w:rFonts w:ascii="Arial" w:hAnsi="Arial" w:cs="Arial"/>
          <w:b/>
          <w:sz w:val="22"/>
          <w:szCs w:val="22"/>
        </w:rPr>
        <w:t>zadavatele č. 2:</w:t>
      </w:r>
    </w:p>
    <w:p w14:paraId="38A42AD7" w14:textId="77777777" w:rsidR="009739D5" w:rsidRPr="005854B2" w:rsidRDefault="009739D5" w:rsidP="009739D5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5854B2">
        <w:rPr>
          <w:rFonts w:ascii="Arial" w:hAnsi="Arial" w:cs="Arial"/>
          <w:sz w:val="22"/>
          <w:szCs w:val="22"/>
        </w:rPr>
        <w:t>Pro zadavatele č. 2 budou provedeny stavební práce</w:t>
      </w:r>
      <w:r w:rsidRPr="005854B2">
        <w:rPr>
          <w:rFonts w:ascii="Arial" w:hAnsi="Arial" w:cs="Arial"/>
          <w:spacing w:val="-4"/>
          <w:sz w:val="22"/>
          <w:szCs w:val="22"/>
        </w:rPr>
        <w:t xml:space="preserve"> spočívající v</w:t>
      </w:r>
      <w:r w:rsidR="00BC7073" w:rsidRPr="005854B2">
        <w:rPr>
          <w:rFonts w:ascii="Arial" w:hAnsi="Arial" w:cs="Arial"/>
          <w:spacing w:val="-4"/>
          <w:sz w:val="22"/>
          <w:szCs w:val="22"/>
        </w:rPr>
        <w:t> ú</w:t>
      </w:r>
      <w:r w:rsidR="00E22A89" w:rsidRPr="005854B2">
        <w:rPr>
          <w:rFonts w:ascii="Arial" w:hAnsi="Arial" w:cs="Arial"/>
          <w:sz w:val="22"/>
          <w:szCs w:val="22"/>
        </w:rPr>
        <w:t>prav</w:t>
      </w:r>
      <w:r w:rsidR="00BC7073" w:rsidRPr="005854B2">
        <w:rPr>
          <w:rFonts w:ascii="Arial" w:hAnsi="Arial" w:cs="Arial"/>
          <w:sz w:val="22"/>
          <w:szCs w:val="22"/>
        </w:rPr>
        <w:t xml:space="preserve">ě druhé části </w:t>
      </w:r>
      <w:r w:rsidR="00E22A89" w:rsidRPr="005854B2">
        <w:rPr>
          <w:rFonts w:ascii="Arial" w:hAnsi="Arial" w:cs="Arial"/>
          <w:sz w:val="22"/>
          <w:szCs w:val="22"/>
        </w:rPr>
        <w:t xml:space="preserve">stávající jednotné kanalizace </w:t>
      </w:r>
      <w:r w:rsidR="00BC7073" w:rsidRPr="005854B2">
        <w:rPr>
          <w:rFonts w:ascii="Arial" w:hAnsi="Arial" w:cs="Arial"/>
          <w:sz w:val="22"/>
          <w:szCs w:val="22"/>
        </w:rPr>
        <w:t xml:space="preserve">mezi šachtami Š2 až Š4. </w:t>
      </w:r>
    </w:p>
    <w:p w14:paraId="0D0C3C58" w14:textId="77777777" w:rsidR="009739D5" w:rsidRPr="005854B2" w:rsidRDefault="009739D5" w:rsidP="009739D5">
      <w:pPr>
        <w:jc w:val="both"/>
        <w:rPr>
          <w:rFonts w:ascii="Arial" w:hAnsi="Arial" w:cs="Arial"/>
          <w:sz w:val="22"/>
          <w:szCs w:val="22"/>
        </w:rPr>
      </w:pPr>
    </w:p>
    <w:p w14:paraId="2973C553" w14:textId="77777777" w:rsidR="00BC7073" w:rsidRPr="005854B2" w:rsidRDefault="00BC7073" w:rsidP="00BC7073">
      <w:pPr>
        <w:pStyle w:val="Zkladntextodsazen3"/>
        <w:ind w:left="0" w:firstLine="0"/>
        <w:rPr>
          <w:szCs w:val="22"/>
        </w:rPr>
      </w:pPr>
      <w:r w:rsidRPr="005854B2">
        <w:rPr>
          <w:spacing w:val="-6"/>
          <w:szCs w:val="22"/>
        </w:rPr>
        <w:t xml:space="preserve">Stavba bude realizována </w:t>
      </w:r>
      <w:r w:rsidRPr="005854B2">
        <w:rPr>
          <w:szCs w:val="22"/>
        </w:rPr>
        <w:t xml:space="preserve">dle projektové dokumentace „II/403 Jestřebí – průtah“, vypracované v říjnu 2021 ve stupni projektové dokumentace pro provádění stavby (dále jen „PDPS“) společností DOPRAPLAN s.r.o., Přemyslovců 462/6, 709 00 Ostrava – Mariánské Hory, IČO: 05411572 v členění stavebních objektů </w:t>
      </w:r>
      <w:r w:rsidRPr="005854B2">
        <w:rPr>
          <w:spacing w:val="-4"/>
          <w:szCs w:val="22"/>
        </w:rPr>
        <w:t>(dle soupisu</w:t>
      </w:r>
      <w:r w:rsidRPr="005854B2">
        <w:rPr>
          <w:szCs w:val="22"/>
        </w:rPr>
        <w:t xml:space="preserve"> prací)</w:t>
      </w:r>
      <w:r w:rsidRPr="005854B2">
        <w:rPr>
          <w:spacing w:val="-4"/>
          <w:szCs w:val="22"/>
        </w:rPr>
        <w:t>, jejichž investorem je zadavatel č. 2, tj. Město Brtnice</w:t>
      </w:r>
      <w:r w:rsidRPr="005854B2">
        <w:rPr>
          <w:szCs w:val="22"/>
        </w:rPr>
        <w:t>:</w:t>
      </w:r>
    </w:p>
    <w:p w14:paraId="5965D452" w14:textId="77777777" w:rsidR="00BC7073" w:rsidRPr="005854B2" w:rsidRDefault="00BC7073" w:rsidP="009739D5">
      <w:pPr>
        <w:pStyle w:val="Zkladntextodsazen3"/>
        <w:ind w:left="0" w:firstLine="0"/>
        <w:rPr>
          <w:spacing w:val="-6"/>
          <w:szCs w:val="22"/>
        </w:rPr>
      </w:pPr>
    </w:p>
    <w:p w14:paraId="328F3F75" w14:textId="77777777" w:rsidR="00BC7073" w:rsidRPr="005854B2" w:rsidRDefault="00BC7073" w:rsidP="00BC7073">
      <w:pPr>
        <w:rPr>
          <w:rFonts w:ascii="Arial" w:hAnsi="Arial" w:cs="Arial"/>
          <w:sz w:val="22"/>
          <w:szCs w:val="22"/>
        </w:rPr>
      </w:pPr>
      <w:r w:rsidRPr="005854B2">
        <w:rPr>
          <w:rFonts w:ascii="Arial" w:hAnsi="Arial" w:cs="Arial"/>
          <w:sz w:val="22"/>
          <w:szCs w:val="22"/>
        </w:rPr>
        <w:t>SO 301.2</w:t>
      </w:r>
      <w:r w:rsidRPr="005854B2">
        <w:rPr>
          <w:rFonts w:ascii="Arial" w:hAnsi="Arial" w:cs="Arial"/>
          <w:sz w:val="22"/>
          <w:szCs w:val="22"/>
        </w:rPr>
        <w:tab/>
        <w:t>Úprava stávající jednotné kanalizace – úsek Š2-Š4 (Město Brtnice)</w:t>
      </w:r>
    </w:p>
    <w:p w14:paraId="3C823409" w14:textId="77777777" w:rsidR="00170C74" w:rsidRDefault="00170C74" w:rsidP="00190E92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A131083" w14:textId="77777777"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786D6A39" w14:textId="77777777"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1890F77C" w14:textId="77777777"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0C72FD62" w14:textId="77777777"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326F47F5" w14:textId="77777777"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7228540C" w14:textId="77777777"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14:paraId="102D4C98" w14:textId="77777777"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14:paraId="62708772" w14:textId="4B495AED"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b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</w:t>
      </w:r>
      <w:r w:rsidR="00441A99">
        <w:rPr>
          <w:rFonts w:ascii="Arial" w:hAnsi="Arial" w:cs="Arial"/>
          <w:sz w:val="22"/>
          <w:szCs w:val="22"/>
          <w:lang w:eastAsia="ar-SA"/>
        </w:rPr>
        <w:t>ých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přelož</w:t>
      </w:r>
      <w:r w:rsidR="00441A99">
        <w:rPr>
          <w:rFonts w:ascii="Arial" w:hAnsi="Arial" w:cs="Arial"/>
          <w:sz w:val="22"/>
          <w:szCs w:val="22"/>
          <w:lang w:eastAsia="ar-SA"/>
        </w:rPr>
        <w:t>ek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IS</w:t>
      </w:r>
      <w:r w:rsidR="006413A5">
        <w:rPr>
          <w:rFonts w:ascii="Arial" w:hAnsi="Arial" w:cs="Arial"/>
          <w:sz w:val="22"/>
          <w:szCs w:val="22"/>
          <w:lang w:eastAsia="ar-SA"/>
        </w:rPr>
        <w:t>)</w:t>
      </w:r>
      <w:r w:rsidR="00441A99">
        <w:rPr>
          <w:rFonts w:ascii="Arial" w:hAnsi="Arial" w:cs="Arial"/>
          <w:sz w:val="22"/>
          <w:szCs w:val="22"/>
          <w:lang w:eastAsia="ar-SA"/>
        </w:rPr>
        <w:t xml:space="preserve">, jedná se zejména o stavbu </w:t>
      </w:r>
      <w:r w:rsidR="006413A5" w:rsidRPr="00441A99">
        <w:rPr>
          <w:rFonts w:ascii="Arial" w:hAnsi="Arial" w:cs="Arial"/>
          <w:sz w:val="22"/>
          <w:szCs w:val="22"/>
          <w:lang w:eastAsia="ar-SA"/>
        </w:rPr>
        <w:t xml:space="preserve">„Jestřebí, kabel VN, TS, posílení NN“ (stavebník </w:t>
      </w:r>
      <w:proofErr w:type="gramStart"/>
      <w:r w:rsidR="006413A5" w:rsidRPr="00441A99">
        <w:rPr>
          <w:rFonts w:ascii="Arial" w:hAnsi="Arial" w:cs="Arial"/>
          <w:sz w:val="22"/>
          <w:szCs w:val="22"/>
          <w:lang w:eastAsia="ar-SA"/>
        </w:rPr>
        <w:t>EG.D a.</w:t>
      </w:r>
      <w:proofErr w:type="gramEnd"/>
      <w:r w:rsidR="006413A5" w:rsidRPr="00441A99">
        <w:rPr>
          <w:rFonts w:ascii="Arial" w:hAnsi="Arial" w:cs="Arial"/>
          <w:sz w:val="22"/>
          <w:szCs w:val="22"/>
          <w:lang w:eastAsia="ar-SA"/>
        </w:rPr>
        <w:t>s.</w:t>
      </w:r>
      <w:r w:rsidR="00C566E9" w:rsidRPr="00441A99">
        <w:rPr>
          <w:rFonts w:ascii="Arial" w:hAnsi="Arial" w:cs="Arial"/>
          <w:sz w:val="22"/>
          <w:szCs w:val="22"/>
          <w:lang w:eastAsia="ar-SA"/>
        </w:rPr>
        <w:t>)</w:t>
      </w:r>
      <w:r w:rsidR="00B023FE" w:rsidRPr="00441A99">
        <w:rPr>
          <w:rFonts w:ascii="Arial" w:hAnsi="Arial" w:cs="Arial"/>
          <w:sz w:val="22"/>
          <w:szCs w:val="22"/>
          <w:lang w:eastAsia="ar-SA"/>
        </w:rPr>
        <w:t>.</w:t>
      </w:r>
      <w:r w:rsidR="00D20DF7" w:rsidRPr="00D20DF7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14:paraId="56287BE2" w14:textId="77777777" w:rsidR="00441A99" w:rsidRDefault="00441A99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</w:p>
    <w:p w14:paraId="4205A3EF" w14:textId="77777777"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Pro pokládku obrusné asfaltobetonové vrstvy vozovky na všech úsecích požaduje zadavatel č. 1 provedení pokládky bez pracovní spáry s vyloučením veškeré dopravy.</w:t>
      </w:r>
    </w:p>
    <w:p w14:paraId="6D6EEC9A" w14:textId="77777777"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</w:p>
    <w:p w14:paraId="5377C103" w14:textId="39CDD449"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</w:t>
      </w:r>
      <w:r w:rsidR="0068664B">
        <w:rPr>
          <w:rFonts w:ascii="Arial" w:hAnsi="Arial" w:cs="Arial"/>
          <w:spacing w:val="4"/>
          <w:sz w:val="22"/>
          <w:szCs w:val="22"/>
        </w:rPr>
        <w:t>r</w:t>
      </w:r>
      <w:r w:rsidRPr="00807953">
        <w:rPr>
          <w:rFonts w:ascii="Arial" w:hAnsi="Arial" w:cs="Arial"/>
          <w:spacing w:val="4"/>
          <w:sz w:val="22"/>
          <w:szCs w:val="22"/>
        </w:rPr>
        <w:t>áce a ochranně zdraví na staveništi.</w:t>
      </w:r>
    </w:p>
    <w:p w14:paraId="2855CBF6" w14:textId="77777777" w:rsidR="00120E29" w:rsidRDefault="00120E29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A605AAA" w14:textId="77777777" w:rsidR="008124F8" w:rsidRPr="005B62B4" w:rsidRDefault="00D416E3" w:rsidP="005B62B4">
      <w:pPr>
        <w:pStyle w:val="Nadpis1"/>
      </w:pPr>
      <w:r>
        <w:lastRenderedPageBreak/>
        <w:t>Identifikace osob podílejících se na vypracování zadávací dokumentace</w:t>
      </w:r>
    </w:p>
    <w:p w14:paraId="3D831D46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6A06E762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25E79C74" w14:textId="77777777" w:rsidR="00B753A0" w:rsidRPr="00176362" w:rsidRDefault="00BC7073" w:rsidP="00BC7073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C7073">
        <w:rPr>
          <w:rFonts w:ascii="Arial" w:hAnsi="Arial" w:cs="Arial"/>
          <w:sz w:val="22"/>
          <w:szCs w:val="22"/>
        </w:rPr>
        <w:t>DOPRAPLAN s.r.o., Přemyslovců 462/6, 709 00 Ostrava – Mariánské Hory, IČO: 05411572</w:t>
      </w:r>
      <w:r>
        <w:rPr>
          <w:rFonts w:ascii="Arial" w:hAnsi="Arial" w:cs="Arial"/>
          <w:sz w:val="22"/>
          <w:szCs w:val="22"/>
        </w:rPr>
        <w:t xml:space="preserve"> </w:t>
      </w:r>
      <w:r w:rsidR="00B753A0" w:rsidRPr="00176362">
        <w:rPr>
          <w:rFonts w:ascii="Arial" w:hAnsi="Arial" w:cs="Arial"/>
          <w:sz w:val="22"/>
          <w:szCs w:val="22"/>
        </w:rPr>
        <w:t>zpracovatel projektové dokumentace „II/</w:t>
      </w:r>
      <w:r>
        <w:rPr>
          <w:rFonts w:ascii="Arial" w:hAnsi="Arial" w:cs="Arial"/>
          <w:sz w:val="22"/>
          <w:szCs w:val="22"/>
        </w:rPr>
        <w:t>403 Jestřebí - průtah</w:t>
      </w:r>
      <w:r w:rsidR="00B753A0" w:rsidRPr="00176362">
        <w:rPr>
          <w:rFonts w:ascii="Arial" w:hAnsi="Arial" w:cs="Arial"/>
          <w:sz w:val="22"/>
          <w:szCs w:val="22"/>
        </w:rPr>
        <w:t>“, vypracované v</w:t>
      </w:r>
      <w:r>
        <w:rPr>
          <w:rFonts w:ascii="Arial" w:hAnsi="Arial" w:cs="Arial"/>
          <w:sz w:val="22"/>
          <w:szCs w:val="22"/>
        </w:rPr>
        <w:t> říjnu 2021</w:t>
      </w:r>
      <w:r w:rsidR="00B753A0" w:rsidRPr="00176362">
        <w:rPr>
          <w:rFonts w:ascii="Arial" w:hAnsi="Arial" w:cs="Arial"/>
          <w:sz w:val="22"/>
          <w:szCs w:val="22"/>
        </w:rPr>
        <w:t xml:space="preserve"> ve stupni PDPS </w:t>
      </w:r>
    </w:p>
    <w:p w14:paraId="4169DFAA" w14:textId="77777777" w:rsidR="00B753A0" w:rsidRPr="00176362" w:rsidRDefault="00B753A0" w:rsidP="00B753A0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14:paraId="15B64837" w14:textId="77777777" w:rsidR="00E62456" w:rsidRDefault="00E62456" w:rsidP="00E62456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BC7073">
        <w:rPr>
          <w:rFonts w:ascii="Arial" w:hAnsi="Arial" w:cs="Arial"/>
          <w:sz w:val="22"/>
          <w:szCs w:val="22"/>
        </w:rPr>
        <w:t>DOPRAPLAN s.r.o., Přemyslovců 462/6, 709 00 Ostrava – Mariánské Hory, IČO: 05411572</w:t>
      </w:r>
      <w:r>
        <w:rPr>
          <w:rFonts w:ascii="Arial" w:hAnsi="Arial" w:cs="Arial"/>
          <w:sz w:val="22"/>
          <w:szCs w:val="22"/>
        </w:rPr>
        <w:t xml:space="preserve"> </w:t>
      </w:r>
      <w:r w:rsidRPr="00176362">
        <w:rPr>
          <w:rFonts w:ascii="Arial" w:hAnsi="Arial" w:cs="Arial"/>
          <w:sz w:val="22"/>
          <w:szCs w:val="22"/>
        </w:rPr>
        <w:t>zpracovatel projektové dokumentace „II/</w:t>
      </w:r>
      <w:r>
        <w:rPr>
          <w:rFonts w:ascii="Arial" w:hAnsi="Arial" w:cs="Arial"/>
          <w:sz w:val="22"/>
          <w:szCs w:val="22"/>
        </w:rPr>
        <w:t>403 Jestřebí - průtah</w:t>
      </w:r>
      <w:r w:rsidRPr="00176362">
        <w:rPr>
          <w:rFonts w:ascii="Arial" w:hAnsi="Arial" w:cs="Arial"/>
          <w:sz w:val="22"/>
          <w:szCs w:val="22"/>
        </w:rPr>
        <w:t>“, vypracované v</w:t>
      </w:r>
      <w:r>
        <w:rPr>
          <w:rFonts w:ascii="Arial" w:hAnsi="Arial" w:cs="Arial"/>
          <w:sz w:val="22"/>
          <w:szCs w:val="22"/>
        </w:rPr>
        <w:t> dubnu 2021</w:t>
      </w:r>
      <w:r w:rsidRPr="00176362">
        <w:rPr>
          <w:rFonts w:ascii="Arial" w:hAnsi="Arial" w:cs="Arial"/>
          <w:sz w:val="22"/>
          <w:szCs w:val="22"/>
        </w:rPr>
        <w:t xml:space="preserve"> ve stupni </w:t>
      </w:r>
      <w:r>
        <w:rPr>
          <w:rFonts w:ascii="Arial" w:hAnsi="Arial" w:cs="Arial"/>
          <w:sz w:val="22"/>
          <w:szCs w:val="22"/>
        </w:rPr>
        <w:t>DUSP</w:t>
      </w:r>
      <w:r w:rsidRPr="00176362">
        <w:rPr>
          <w:rFonts w:ascii="Arial" w:hAnsi="Arial" w:cs="Arial"/>
          <w:sz w:val="22"/>
          <w:szCs w:val="22"/>
        </w:rPr>
        <w:t xml:space="preserve"> </w:t>
      </w:r>
    </w:p>
    <w:p w14:paraId="0CFD1616" w14:textId="78AAD85F" w:rsidR="001E3FEB" w:rsidRDefault="001E3FEB" w:rsidP="00E62456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14:paraId="644514FE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49434DA8" w14:textId="77777777"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 xml:space="preserve">okres </w:t>
      </w:r>
      <w:r w:rsidR="00E62456">
        <w:rPr>
          <w:rFonts w:ascii="Arial" w:hAnsi="Arial" w:cs="Arial"/>
          <w:sz w:val="22"/>
          <w:szCs w:val="22"/>
        </w:rPr>
        <w:t>Jihlava, obec Jestřebí</w:t>
      </w:r>
      <w:r w:rsidR="00B753A0">
        <w:rPr>
          <w:rFonts w:ascii="Arial" w:hAnsi="Arial" w:cs="Arial"/>
          <w:sz w:val="22"/>
          <w:szCs w:val="22"/>
        </w:rPr>
        <w:t>.</w:t>
      </w:r>
    </w:p>
    <w:p w14:paraId="360709C3" w14:textId="77777777"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470E4E9D" w14:textId="77777777"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0AEAAF89" w14:textId="7C15B424"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67ACBD84" w14:textId="77777777" w:rsidR="00554998" w:rsidRPr="00FC00C5" w:rsidRDefault="00554998" w:rsidP="00B023FE">
      <w:pPr>
        <w:pStyle w:val="Nzev"/>
        <w:jc w:val="both"/>
        <w:rPr>
          <w:rFonts w:ascii="Arial" w:hAnsi="Arial" w:cs="Arial"/>
          <w:sz w:val="16"/>
          <w:szCs w:val="16"/>
        </w:rPr>
      </w:pPr>
    </w:p>
    <w:p w14:paraId="685CCDB8" w14:textId="77777777" w:rsidR="00D80C4E" w:rsidRPr="009550B1" w:rsidRDefault="00D80C4E" w:rsidP="00B10CC9">
      <w:pPr>
        <w:pStyle w:val="Nadpis1"/>
      </w:pPr>
      <w:bookmarkStart w:id="1" w:name="_Toc464039178"/>
      <w:bookmarkStart w:id="2" w:name="_Toc464637797"/>
      <w:r w:rsidRPr="009550B1">
        <w:t>Termíny plnění</w:t>
      </w:r>
      <w:bookmarkEnd w:id="1"/>
      <w:r w:rsidR="00CF2306">
        <w:t xml:space="preserve"> veřejné zakázky</w:t>
      </w:r>
      <w:bookmarkEnd w:id="2"/>
    </w:p>
    <w:p w14:paraId="4B4CF977" w14:textId="77777777"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630B1A1A" w14:textId="1B2C0B86"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</w:r>
      <w:r w:rsidR="00E62456">
        <w:rPr>
          <w:rFonts w:ascii="Arial" w:hAnsi="Arial" w:cs="Arial"/>
          <w:b w:val="0"/>
          <w:bCs w:val="0"/>
          <w:sz w:val="22"/>
          <w:szCs w:val="22"/>
        </w:rPr>
        <w:t>0</w:t>
      </w:r>
      <w:r w:rsidR="00591627">
        <w:rPr>
          <w:rFonts w:ascii="Arial" w:hAnsi="Arial" w:cs="Arial"/>
          <w:b w:val="0"/>
          <w:bCs w:val="0"/>
          <w:sz w:val="22"/>
          <w:szCs w:val="22"/>
        </w:rPr>
        <w:t>2</w:t>
      </w:r>
      <w:r w:rsidR="00E62456">
        <w:rPr>
          <w:rFonts w:ascii="Arial" w:hAnsi="Arial" w:cs="Arial"/>
          <w:b w:val="0"/>
          <w:bCs w:val="0"/>
          <w:sz w:val="22"/>
          <w:szCs w:val="22"/>
        </w:rPr>
        <w:t>/202</w:t>
      </w:r>
      <w:r w:rsidR="00640897">
        <w:rPr>
          <w:rFonts w:ascii="Arial" w:hAnsi="Arial" w:cs="Arial"/>
          <w:b w:val="0"/>
          <w:bCs w:val="0"/>
          <w:sz w:val="22"/>
          <w:szCs w:val="22"/>
        </w:rPr>
        <w:t>3</w:t>
      </w:r>
    </w:p>
    <w:p w14:paraId="3BF54969" w14:textId="5EBCD81F"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0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3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640897">
        <w:rPr>
          <w:rFonts w:ascii="Arial" w:hAnsi="Arial" w:cs="Arial"/>
          <w:b w:val="0"/>
          <w:bCs w:val="0"/>
          <w:sz w:val="22"/>
          <w:szCs w:val="22"/>
        </w:rPr>
        <w:t>3</w:t>
      </w:r>
    </w:p>
    <w:p w14:paraId="4C0E258C" w14:textId="77777777"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55C354FC" w14:textId="5FBE8570"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8D0DD7">
        <w:rPr>
          <w:rFonts w:ascii="Arial" w:hAnsi="Arial" w:cs="Arial"/>
          <w:b w:val="0"/>
          <w:bCs w:val="0"/>
          <w:sz w:val="22"/>
          <w:szCs w:val="22"/>
        </w:rPr>
        <w:t>27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</w:t>
      </w:r>
      <w:r w:rsidR="00640897">
        <w:rPr>
          <w:rFonts w:ascii="Arial" w:hAnsi="Arial" w:cs="Arial"/>
          <w:b w:val="0"/>
          <w:bCs w:val="0"/>
          <w:sz w:val="22"/>
          <w:szCs w:val="22"/>
        </w:rPr>
        <w:t>3</w:t>
      </w:r>
    </w:p>
    <w:p w14:paraId="41A01B51" w14:textId="77777777" w:rsidR="0040754B" w:rsidRPr="00A6091B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3644CF1D" w14:textId="231462B9"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>
        <w:rPr>
          <w:rFonts w:ascii="Arial" w:hAnsi="Arial" w:cs="Arial"/>
          <w:sz w:val="22"/>
          <w:szCs w:val="22"/>
          <w:lang w:eastAsia="x-none"/>
        </w:rPr>
        <w:tab/>
      </w:r>
      <w:r w:rsidRPr="00A6091B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E62456">
        <w:rPr>
          <w:rFonts w:ascii="Arial" w:hAnsi="Arial" w:cs="Arial"/>
          <w:sz w:val="22"/>
          <w:szCs w:val="22"/>
          <w:lang w:eastAsia="x-none"/>
        </w:rPr>
        <w:t>3</w:t>
      </w:r>
      <w:r w:rsidR="004C5606">
        <w:rPr>
          <w:rFonts w:ascii="Arial" w:hAnsi="Arial" w:cs="Arial"/>
          <w:sz w:val="22"/>
          <w:szCs w:val="22"/>
          <w:lang w:eastAsia="x-none"/>
        </w:rPr>
        <w:t>1</w:t>
      </w:r>
      <w:r w:rsidR="00303CFA">
        <w:rPr>
          <w:rFonts w:ascii="Arial" w:hAnsi="Arial" w:cs="Arial"/>
          <w:sz w:val="22"/>
          <w:szCs w:val="22"/>
          <w:lang w:eastAsia="x-none"/>
        </w:rPr>
        <w:t>. 01</w:t>
      </w:r>
      <w:r w:rsidR="003C3659">
        <w:rPr>
          <w:rFonts w:ascii="Arial" w:hAnsi="Arial" w:cs="Arial"/>
          <w:sz w:val="22"/>
          <w:szCs w:val="22"/>
          <w:lang w:eastAsia="x-none"/>
        </w:rPr>
        <w:t>. 20</w:t>
      </w:r>
      <w:r w:rsidR="00986757">
        <w:rPr>
          <w:rFonts w:ascii="Arial" w:hAnsi="Arial" w:cs="Arial"/>
          <w:sz w:val="22"/>
          <w:szCs w:val="22"/>
          <w:lang w:eastAsia="x-none"/>
        </w:rPr>
        <w:t>2</w:t>
      </w:r>
      <w:r w:rsidR="00640897">
        <w:rPr>
          <w:rFonts w:ascii="Arial" w:hAnsi="Arial" w:cs="Arial"/>
          <w:sz w:val="22"/>
          <w:szCs w:val="22"/>
          <w:lang w:eastAsia="x-none"/>
        </w:rPr>
        <w:t>4</w:t>
      </w:r>
    </w:p>
    <w:p w14:paraId="08CA5977" w14:textId="77777777"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14:paraId="55D6DA1C" w14:textId="77777777" w:rsidR="00FA0761" w:rsidRPr="005D488A" w:rsidRDefault="00FA0761" w:rsidP="009C7A79">
      <w:pPr>
        <w:overflowPunct/>
        <w:autoSpaceDE/>
        <w:autoSpaceDN/>
        <w:adjustRightInd/>
        <w:spacing w:line="288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V zimním období </w:t>
      </w:r>
      <w:r w:rsidR="00E66024">
        <w:rPr>
          <w:rFonts w:ascii="Arial" w:hAnsi="Arial" w:cs="Arial"/>
          <w:spacing w:val="-4"/>
          <w:sz w:val="22"/>
          <w:szCs w:val="22"/>
          <w:lang w:eastAsia="x-none"/>
        </w:rPr>
        <w:t>(tj. od 1. listopadu do 31. března)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nebudou prováděny jakékoli st</w:t>
      </w:r>
      <w:r w:rsidR="00B93DAB" w:rsidRPr="005D488A">
        <w:rPr>
          <w:rFonts w:ascii="Arial" w:hAnsi="Arial" w:cs="Arial"/>
          <w:spacing w:val="-4"/>
          <w:sz w:val="22"/>
          <w:szCs w:val="22"/>
          <w:lang w:eastAsia="x-none"/>
        </w:rPr>
        <w:t>avební práce, které by znamenaly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omezení (byť jen částečné) provozu na pozemních komunikacích </w:t>
      </w:r>
      <w:r w:rsidR="005B62B4">
        <w:rPr>
          <w:rFonts w:ascii="Arial" w:hAnsi="Arial" w:cs="Arial"/>
          <w:spacing w:val="-4"/>
          <w:sz w:val="22"/>
          <w:szCs w:val="22"/>
          <w:lang w:eastAsia="x-none"/>
        </w:rPr>
        <w:t>a zimní údržbě.</w:t>
      </w:r>
      <w:r w:rsidRPr="005D488A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</w:p>
    <w:p w14:paraId="2E7A40A3" w14:textId="77777777" w:rsidR="00D80C4E" w:rsidRPr="005A283E" w:rsidRDefault="00D80C4E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</w:rPr>
      </w:pPr>
    </w:p>
    <w:p w14:paraId="230E663D" w14:textId="4A068A93" w:rsidR="005E0DD1" w:rsidRDefault="003C2DDA" w:rsidP="003C2DDA">
      <w:p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570E2A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570E2A">
        <w:rPr>
          <w:rFonts w:ascii="Arial" w:hAnsi="Arial" w:cs="Arial"/>
          <w:i/>
          <w:sz w:val="20"/>
          <w:szCs w:val="20"/>
        </w:rPr>
        <w:t xml:space="preserve"> </w:t>
      </w:r>
      <w:r w:rsidR="005E0DD1" w:rsidRPr="00570E2A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570E2A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570E2A">
        <w:rPr>
          <w:rFonts w:ascii="Arial" w:hAnsi="Arial" w:cs="Arial"/>
          <w:sz w:val="20"/>
          <w:szCs w:val="20"/>
        </w:rPr>
        <w:t xml:space="preserve">. </w:t>
      </w:r>
    </w:p>
    <w:p w14:paraId="77FF11B3" w14:textId="6C3112F4" w:rsidR="00E13135" w:rsidRDefault="00E13135" w:rsidP="003C2DDA">
      <w:pPr>
        <w:jc w:val="both"/>
        <w:rPr>
          <w:rFonts w:ascii="Arial" w:hAnsi="Arial" w:cs="Arial"/>
          <w:sz w:val="20"/>
          <w:szCs w:val="20"/>
        </w:rPr>
      </w:pPr>
    </w:p>
    <w:p w14:paraId="37BF27D0" w14:textId="77777777" w:rsidR="00E13135" w:rsidRDefault="00E13135" w:rsidP="003C2DDA">
      <w:pPr>
        <w:jc w:val="both"/>
        <w:rPr>
          <w:rFonts w:ascii="Arial" w:hAnsi="Arial" w:cs="Arial"/>
          <w:sz w:val="20"/>
          <w:szCs w:val="20"/>
        </w:rPr>
      </w:pPr>
    </w:p>
    <w:p w14:paraId="7A74EE66" w14:textId="77777777" w:rsidR="00D80C4E" w:rsidRPr="009550B1" w:rsidRDefault="00D80C4E" w:rsidP="00B10CC9">
      <w:pPr>
        <w:pStyle w:val="Nadpis1"/>
        <w:ind w:left="431" w:hanging="431"/>
      </w:pPr>
      <w:bookmarkStart w:id="3" w:name="_Toc464039179"/>
      <w:bookmarkStart w:id="4" w:name="_Toc464637798"/>
      <w:r w:rsidRPr="009550B1">
        <w:t>Předpokládaná hodnota veřejné zakázky</w:t>
      </w:r>
      <w:bookmarkEnd w:id="3"/>
      <w:bookmarkEnd w:id="4"/>
    </w:p>
    <w:p w14:paraId="72EAC0C1" w14:textId="77777777" w:rsidR="00D80C4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 w:rsidR="008A13F2">
        <w:rPr>
          <w:rFonts w:ascii="Arial" w:hAnsi="Arial" w:cs="Arial"/>
          <w:sz w:val="22"/>
          <w:szCs w:val="22"/>
        </w:rPr>
        <w:t>zadavatele č. 1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E62456">
        <w:rPr>
          <w:rFonts w:ascii="Arial" w:hAnsi="Arial" w:cs="Arial"/>
          <w:sz w:val="22"/>
          <w:szCs w:val="22"/>
        </w:rPr>
        <w:t>1</w:t>
      </w:r>
      <w:r w:rsidR="003429C8">
        <w:rPr>
          <w:rFonts w:ascii="Arial" w:hAnsi="Arial" w:cs="Arial"/>
          <w:sz w:val="22"/>
          <w:szCs w:val="22"/>
        </w:rPr>
        <w:t>9</w:t>
      </w:r>
      <w:r w:rsidR="00E62456">
        <w:rPr>
          <w:rFonts w:ascii="Arial" w:hAnsi="Arial" w:cs="Arial"/>
          <w:sz w:val="22"/>
          <w:szCs w:val="22"/>
        </w:rPr>
        <w:t> </w:t>
      </w:r>
      <w:r w:rsidR="003429C8">
        <w:rPr>
          <w:rFonts w:ascii="Arial" w:hAnsi="Arial" w:cs="Arial"/>
          <w:sz w:val="22"/>
          <w:szCs w:val="22"/>
        </w:rPr>
        <w:t>387</w:t>
      </w:r>
      <w:r w:rsidR="00E62456">
        <w:rPr>
          <w:rFonts w:ascii="Arial" w:hAnsi="Arial" w:cs="Arial"/>
          <w:sz w:val="22"/>
          <w:szCs w:val="22"/>
        </w:rPr>
        <w:t xml:space="preserve"> 000</w:t>
      </w:r>
      <w:r w:rsidR="00C96862">
        <w:rPr>
          <w:rFonts w:ascii="Arial" w:hAnsi="Arial" w:cs="Arial"/>
          <w:sz w:val="22"/>
          <w:szCs w:val="22"/>
        </w:rPr>
        <w:t xml:space="preserve"> Kč bez DPH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32F19623" w14:textId="77777777" w:rsidR="00B023F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79199773" w14:textId="77777777" w:rsidR="00814ECC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>zadavatele č. 2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170C74">
        <w:rPr>
          <w:rFonts w:ascii="Arial" w:hAnsi="Arial" w:cs="Arial"/>
          <w:sz w:val="22"/>
          <w:szCs w:val="22"/>
        </w:rPr>
        <w:t xml:space="preserve">  </w:t>
      </w:r>
      <w:r w:rsidR="006E39A4">
        <w:rPr>
          <w:rFonts w:ascii="Arial" w:hAnsi="Arial" w:cs="Arial"/>
          <w:sz w:val="22"/>
          <w:szCs w:val="22"/>
        </w:rPr>
        <w:t xml:space="preserve">   528 000</w:t>
      </w:r>
      <w:r w:rsidR="005A283E" w:rsidRPr="003C3659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Kč bez DPH</w:t>
      </w:r>
    </w:p>
    <w:p w14:paraId="65D415B4" w14:textId="77777777" w:rsidR="00986757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14518F35" w14:textId="4A5679AF"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>
        <w:rPr>
          <w:rFonts w:ascii="Arial" w:hAnsi="Arial" w:cs="Arial"/>
          <w:b/>
          <w:sz w:val="22"/>
          <w:szCs w:val="22"/>
        </w:rPr>
        <w:t>:</w:t>
      </w:r>
      <w:r w:rsidR="001B60BC">
        <w:rPr>
          <w:rFonts w:ascii="Arial" w:hAnsi="Arial" w:cs="Arial"/>
          <w:b/>
          <w:sz w:val="22"/>
          <w:szCs w:val="22"/>
        </w:rPr>
        <w:tab/>
      </w:r>
      <w:r w:rsidR="000F0767">
        <w:rPr>
          <w:rFonts w:ascii="Arial" w:hAnsi="Arial" w:cs="Arial"/>
          <w:b/>
          <w:sz w:val="22"/>
          <w:szCs w:val="22"/>
        </w:rPr>
        <w:t>1</w:t>
      </w:r>
      <w:r w:rsidR="006E39A4">
        <w:rPr>
          <w:rFonts w:ascii="Arial" w:hAnsi="Arial" w:cs="Arial"/>
          <w:b/>
          <w:sz w:val="22"/>
          <w:szCs w:val="22"/>
        </w:rPr>
        <w:t>9 </w:t>
      </w:r>
      <w:r w:rsidR="003429C8">
        <w:rPr>
          <w:rFonts w:ascii="Arial" w:hAnsi="Arial" w:cs="Arial"/>
          <w:b/>
          <w:sz w:val="22"/>
          <w:szCs w:val="22"/>
        </w:rPr>
        <w:t>915</w:t>
      </w:r>
      <w:r w:rsidR="006E39A4">
        <w:rPr>
          <w:rFonts w:ascii="Arial" w:hAnsi="Arial" w:cs="Arial"/>
          <w:b/>
          <w:sz w:val="22"/>
          <w:szCs w:val="22"/>
        </w:rPr>
        <w:t xml:space="preserve"> 000</w:t>
      </w:r>
      <w:r w:rsidRPr="00170C74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170C74">
        <w:rPr>
          <w:rFonts w:ascii="Arial" w:hAnsi="Arial" w:cs="Arial"/>
          <w:b/>
          <w:sz w:val="22"/>
          <w:szCs w:val="22"/>
        </w:rPr>
        <w:t xml:space="preserve"> DPH</w:t>
      </w:r>
    </w:p>
    <w:p w14:paraId="7286FED2" w14:textId="376447DC" w:rsidR="00E13135" w:rsidRDefault="00E13135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14:paraId="1D259F03" w14:textId="77777777" w:rsidR="00120E29" w:rsidRDefault="00120E29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</w:p>
    <w:p w14:paraId="5EA246D6" w14:textId="77777777" w:rsidR="00D80C4E" w:rsidRPr="009550B1" w:rsidRDefault="00D80C4E" w:rsidP="00B10CC9">
      <w:pPr>
        <w:pStyle w:val="Nadpis1"/>
        <w:ind w:left="431" w:hanging="431"/>
      </w:pPr>
      <w:bookmarkStart w:id="5" w:name="_Toc464039180"/>
      <w:bookmarkStart w:id="6" w:name="_Toc464637799"/>
      <w:r w:rsidRPr="009550B1">
        <w:lastRenderedPageBreak/>
        <w:t>Klasifikace předmětu veřejné zakázky</w:t>
      </w:r>
      <w:bookmarkEnd w:id="5"/>
      <w:bookmarkEnd w:id="6"/>
    </w:p>
    <w:p w14:paraId="128461C0" w14:textId="77777777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7BA6CCB3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4907F9F2" w14:textId="77777777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520C89C3" w14:textId="77777777" w:rsidR="004D0433" w:rsidRPr="00C206B4" w:rsidRDefault="004D0433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2610">
        <w:rPr>
          <w:rFonts w:ascii="Arial" w:hAnsi="Arial" w:cs="Arial"/>
          <w:sz w:val="22"/>
        </w:rPr>
        <w:t>Železobetonové konstrukce</w:t>
      </w:r>
      <w:r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ab/>
      </w:r>
      <w:r w:rsidRPr="00C22610">
        <w:rPr>
          <w:rFonts w:ascii="Arial" w:hAnsi="Arial" w:cs="Arial"/>
          <w:sz w:val="22"/>
        </w:rPr>
        <w:t>45223500-1</w:t>
      </w:r>
    </w:p>
    <w:p w14:paraId="460DD74E" w14:textId="77777777" w:rsidR="00F65D48" w:rsidRDefault="00F65D48" w:rsidP="002E382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1C09A088" w14:textId="77777777" w:rsidR="002E3827" w:rsidRPr="00FD3658" w:rsidRDefault="002E3827" w:rsidP="002E382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D3658">
        <w:rPr>
          <w:rFonts w:ascii="Arial" w:hAnsi="Arial" w:cs="Arial"/>
          <w:sz w:val="22"/>
        </w:rPr>
        <w:t>Stavební práce pro vodovodní a kanalizační potrubí</w:t>
      </w:r>
      <w:r w:rsidRPr="00FD3658">
        <w:rPr>
          <w:rFonts w:ascii="Arial" w:hAnsi="Arial" w:cs="Arial"/>
          <w:sz w:val="22"/>
        </w:rPr>
        <w:tab/>
        <w:t>45231300-8</w:t>
      </w:r>
      <w:r w:rsidRPr="00FD3658">
        <w:rPr>
          <w:rFonts w:ascii="Arial" w:hAnsi="Arial" w:cs="Arial"/>
          <w:sz w:val="22"/>
        </w:rPr>
        <w:tab/>
      </w:r>
    </w:p>
    <w:p w14:paraId="3860490A" w14:textId="77777777" w:rsidR="002E3827" w:rsidRPr="00C206B4" w:rsidRDefault="002E3827" w:rsidP="002E3827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FD3658">
        <w:rPr>
          <w:rFonts w:ascii="Arial" w:hAnsi="Arial" w:cs="Arial"/>
          <w:sz w:val="22"/>
        </w:rPr>
        <w:t>Stavební práce vztahující se k plynovým přípojkám</w:t>
      </w:r>
      <w:r w:rsidRPr="00FD3658">
        <w:rPr>
          <w:rFonts w:ascii="Arial" w:hAnsi="Arial" w:cs="Arial"/>
          <w:sz w:val="22"/>
        </w:rPr>
        <w:tab/>
        <w:t>45231221-0</w:t>
      </w:r>
      <w:r w:rsidRPr="00C206B4">
        <w:rPr>
          <w:rFonts w:ascii="Arial" w:hAnsi="Arial" w:cs="Arial"/>
          <w:sz w:val="22"/>
        </w:rPr>
        <w:t xml:space="preserve">  </w:t>
      </w:r>
    </w:p>
    <w:p w14:paraId="60DED0FC" w14:textId="77777777"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</w:p>
    <w:p w14:paraId="5F0430E8" w14:textId="77777777" w:rsidR="00EC5BB9" w:rsidRPr="009550B1" w:rsidRDefault="00CE506C" w:rsidP="00B10CC9">
      <w:pPr>
        <w:pStyle w:val="Nadpis1"/>
        <w:ind w:left="431" w:hanging="431"/>
      </w:pPr>
      <w:bookmarkStart w:id="7" w:name="_Toc464039181"/>
      <w:bookmarkStart w:id="8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7"/>
      <w:bookmarkEnd w:id="8"/>
    </w:p>
    <w:p w14:paraId="3ED51A8F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1068B77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1C533011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3E67BBDE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2C9EF643" w14:textId="4673BD6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6135E72A" w14:textId="77777777" w:rsidR="00554998" w:rsidRPr="00FC00C5" w:rsidRDefault="00554998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16"/>
          <w:szCs w:val="16"/>
        </w:rPr>
      </w:pPr>
    </w:p>
    <w:p w14:paraId="695A2E2C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4"/>
      <w:r w:rsidRPr="00695CC7">
        <w:rPr>
          <w:u w:val="single"/>
        </w:rPr>
        <w:t>Základní způsobilost</w:t>
      </w:r>
      <w:bookmarkEnd w:id="9"/>
      <w:r w:rsidRPr="00695CC7">
        <w:rPr>
          <w:u w:val="single"/>
        </w:rPr>
        <w:t xml:space="preserve"> </w:t>
      </w:r>
    </w:p>
    <w:p w14:paraId="43AA32EA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7370082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BF6D05D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36A438C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55241971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64F0DF63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07B6C2EB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9605EB5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511DF51C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5510539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0420B37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50B4F69A" w14:textId="478A7286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9653F92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4C44A4C5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3CF8C908" w14:textId="77777777" w:rsidR="00120E29" w:rsidRDefault="00120E2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3170AD7A" w14:textId="57ADADFE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ABBEBA6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64C2BD7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533AA1E2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0B613F95" w14:textId="77777777" w:rsidR="00955BB3" w:rsidRPr="00695CC7" w:rsidRDefault="00955BB3" w:rsidP="00955BB3">
      <w:pPr>
        <w:pStyle w:val="Nadpis2"/>
        <w:rPr>
          <w:u w:val="single"/>
        </w:rPr>
      </w:pPr>
      <w:bookmarkStart w:id="10" w:name="_Toc468796035"/>
      <w:r w:rsidRPr="00695CC7">
        <w:rPr>
          <w:u w:val="single"/>
        </w:rPr>
        <w:t>Profesní způsobilost</w:t>
      </w:r>
      <w:bookmarkEnd w:id="10"/>
      <w:r w:rsidRPr="00695CC7">
        <w:rPr>
          <w:u w:val="single"/>
        </w:rPr>
        <w:t xml:space="preserve"> </w:t>
      </w:r>
    </w:p>
    <w:p w14:paraId="2CD100DC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691AC792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4367091A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62D4F4D9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1EC210D6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160C99B7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7C71CF41" w14:textId="77777777" w:rsidR="00955BB3" w:rsidRPr="00EC4D1B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3528DF49" w14:textId="77777777" w:rsidR="004A2BE3" w:rsidRPr="00D70971" w:rsidRDefault="004A2BE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z w:val="22"/>
          <w:szCs w:val="22"/>
        </w:rPr>
      </w:pPr>
      <w:r w:rsidRPr="00D70971">
        <w:rPr>
          <w:rFonts w:ascii="Arial" w:hAnsi="Arial" w:cs="Arial"/>
          <w:b/>
          <w:sz w:val="22"/>
          <w:szCs w:val="22"/>
        </w:rPr>
        <w:t>osvědčení o autorizaci nebo osvědčení o registraci pro obor mosty a inženýrské konstrukce</w:t>
      </w:r>
      <w:r w:rsidRPr="00D70971">
        <w:rPr>
          <w:rFonts w:ascii="Arial" w:hAnsi="Arial" w:cs="Arial"/>
        </w:rPr>
        <w:t xml:space="preserve"> </w:t>
      </w:r>
      <w:r w:rsidRPr="00D70971">
        <w:rPr>
          <w:rFonts w:ascii="Arial" w:hAnsi="Arial" w:cs="Arial"/>
          <w:sz w:val="22"/>
          <w:szCs w:val="22"/>
        </w:rPr>
        <w:t>vydané dle zákona č. 360/1992 Sb. o výkonu povolání autorizovaných architektů a o výkonu povolání autorizovaných inženýrů a techniků činných ve výstavbě, ve znění pozdějších předpisů, nebo jiný rovnocenný doklad dle § 45 ZZVZ;</w:t>
      </w:r>
    </w:p>
    <w:p w14:paraId="7C0AB1EE" w14:textId="77777777" w:rsidR="00025E6E" w:rsidRPr="001B733C" w:rsidRDefault="00F86AE1" w:rsidP="00B753A0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D70971">
        <w:rPr>
          <w:rFonts w:ascii="Arial" w:hAnsi="Arial" w:cs="Arial"/>
          <w:b/>
        </w:rPr>
        <w:t>úřední oprávnění pro</w:t>
      </w:r>
      <w:r w:rsidRPr="00D70971">
        <w:rPr>
          <w:rFonts w:ascii="Arial" w:hAnsi="Arial" w:cs="Arial"/>
        </w:rPr>
        <w:t xml:space="preserve"> </w:t>
      </w:r>
      <w:r w:rsidRPr="00D70971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4159036D" w14:textId="53C20BC4" w:rsidR="001B733C" w:rsidRPr="00FC00C5" w:rsidRDefault="001B733C" w:rsidP="001B733C">
      <w:pPr>
        <w:pStyle w:val="2sltext"/>
        <w:numPr>
          <w:ilvl w:val="0"/>
          <w:numId w:val="0"/>
        </w:numPr>
        <w:spacing w:before="120" w:after="0" w:line="22" w:lineRule="atLeast"/>
        <w:ind w:left="426"/>
        <w:rPr>
          <w:rFonts w:ascii="Arial" w:hAnsi="Arial" w:cs="Arial"/>
          <w:sz w:val="16"/>
          <w:szCs w:val="16"/>
        </w:rPr>
      </w:pPr>
    </w:p>
    <w:p w14:paraId="0E8C7430" w14:textId="77777777" w:rsidR="00CE506C" w:rsidRPr="00797D57" w:rsidRDefault="009255C0" w:rsidP="000F6EAF">
      <w:pPr>
        <w:pStyle w:val="Nadpis2"/>
        <w:rPr>
          <w:u w:val="single"/>
        </w:rPr>
      </w:pPr>
      <w:bookmarkStart w:id="11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1"/>
      <w:r w:rsidRPr="00797D57">
        <w:rPr>
          <w:u w:val="single"/>
        </w:rPr>
        <w:t xml:space="preserve"> </w:t>
      </w:r>
    </w:p>
    <w:p w14:paraId="3D5211C1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107FFB6C" w14:textId="77777777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18DD1DB4" w14:textId="452A24BE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75C93018" w14:textId="77777777" w:rsidR="00937000" w:rsidRPr="003A20C3" w:rsidRDefault="00770690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 xml:space="preserve">a) </w:t>
      </w:r>
      <w:r w:rsidR="003657AA"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49588C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9588C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9588C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</w:t>
      </w:r>
      <w:r w:rsidR="00A15B18" w:rsidRPr="003A20C3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3A20C3">
        <w:rPr>
          <w:rFonts w:ascii="Arial" w:hAnsi="Arial" w:cs="Arial"/>
          <w:spacing w:val="-4"/>
          <w:sz w:val="22"/>
          <w:szCs w:val="22"/>
        </w:rPr>
        <w:t>i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3A20C3">
        <w:rPr>
          <w:rFonts w:ascii="Arial" w:hAnsi="Arial" w:cs="Arial"/>
          <w:spacing w:val="-4"/>
          <w:sz w:val="22"/>
          <w:szCs w:val="22"/>
        </w:rPr>
        <w:t>ě</w:t>
      </w:r>
      <w:r w:rsidR="0003652B" w:rsidRPr="003A20C3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3528BE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3528BE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3528BE">
        <w:rPr>
          <w:rFonts w:ascii="Arial" w:hAnsi="Arial" w:cs="Arial"/>
          <w:sz w:val="22"/>
          <w:szCs w:val="22"/>
        </w:rPr>
        <w:t xml:space="preserve"> délkou </w:t>
      </w:r>
      <w:r w:rsidR="003528BE" w:rsidRPr="003528BE">
        <w:rPr>
          <w:rFonts w:ascii="Arial" w:hAnsi="Arial" w:cs="Arial"/>
          <w:sz w:val="22"/>
          <w:szCs w:val="22"/>
        </w:rPr>
        <w:t>3</w:t>
      </w:r>
      <w:r w:rsidR="008C149E" w:rsidRPr="003528BE">
        <w:rPr>
          <w:rFonts w:ascii="Arial" w:hAnsi="Arial" w:cs="Arial"/>
          <w:sz w:val="22"/>
          <w:szCs w:val="22"/>
        </w:rPr>
        <w:t>00</w:t>
      </w:r>
      <w:r w:rsidR="00A15B18" w:rsidRPr="003528BE">
        <w:rPr>
          <w:rFonts w:ascii="Arial" w:hAnsi="Arial" w:cs="Arial"/>
          <w:sz w:val="22"/>
          <w:szCs w:val="22"/>
        </w:rPr>
        <w:t xml:space="preserve"> m</w:t>
      </w:r>
      <w:r w:rsidR="0062635B" w:rsidRPr="003528BE">
        <w:rPr>
          <w:rFonts w:ascii="Arial" w:hAnsi="Arial" w:cs="Arial"/>
          <w:sz w:val="22"/>
          <w:szCs w:val="22"/>
        </w:rPr>
        <w:t xml:space="preserve"> </w:t>
      </w:r>
      <w:r w:rsidR="0049588C" w:rsidRPr="003528BE">
        <w:rPr>
          <w:rFonts w:ascii="Arial" w:hAnsi="Arial" w:cs="Arial"/>
          <w:sz w:val="22"/>
          <w:szCs w:val="22"/>
        </w:rPr>
        <w:t xml:space="preserve">v průtahu obce </w:t>
      </w:r>
      <w:r w:rsidR="006F7B97" w:rsidRPr="003528BE">
        <w:rPr>
          <w:rFonts w:ascii="Arial" w:hAnsi="Arial" w:cs="Arial"/>
          <w:sz w:val="22"/>
          <w:szCs w:val="22"/>
        </w:rPr>
        <w:t xml:space="preserve">s celkovými investičními náklady </w:t>
      </w:r>
      <w:r w:rsidR="0062635B" w:rsidRPr="003528BE">
        <w:rPr>
          <w:rFonts w:ascii="Arial" w:hAnsi="Arial" w:cs="Arial"/>
          <w:sz w:val="22"/>
          <w:szCs w:val="22"/>
        </w:rPr>
        <w:t xml:space="preserve">ve výši </w:t>
      </w:r>
      <w:r w:rsidR="00957388" w:rsidRPr="003528BE">
        <w:rPr>
          <w:rFonts w:ascii="Arial" w:hAnsi="Arial" w:cs="Arial"/>
          <w:sz w:val="22"/>
          <w:szCs w:val="22"/>
        </w:rPr>
        <w:t xml:space="preserve">minimálně </w:t>
      </w:r>
      <w:r w:rsidR="003528BE" w:rsidRPr="002066C7">
        <w:rPr>
          <w:rFonts w:ascii="Arial" w:hAnsi="Arial" w:cs="Arial"/>
          <w:sz w:val="22"/>
          <w:szCs w:val="22"/>
        </w:rPr>
        <w:t>8</w:t>
      </w:r>
      <w:r w:rsidR="008C149E" w:rsidRPr="003528BE">
        <w:rPr>
          <w:rFonts w:ascii="Arial" w:hAnsi="Arial" w:cs="Arial"/>
          <w:sz w:val="22"/>
          <w:szCs w:val="22"/>
        </w:rPr>
        <w:t xml:space="preserve"> </w:t>
      </w:r>
      <w:r w:rsidR="00957388" w:rsidRPr="003528BE">
        <w:rPr>
          <w:rFonts w:ascii="Arial" w:hAnsi="Arial" w:cs="Arial"/>
          <w:sz w:val="22"/>
          <w:szCs w:val="22"/>
        </w:rPr>
        <w:t>m</w:t>
      </w:r>
      <w:r w:rsidR="006F7B97" w:rsidRPr="003528BE">
        <w:rPr>
          <w:rFonts w:ascii="Arial" w:hAnsi="Arial" w:cs="Arial"/>
          <w:sz w:val="22"/>
          <w:szCs w:val="22"/>
        </w:rPr>
        <w:t>il. Kč bez DPH</w:t>
      </w:r>
      <w:r w:rsidR="00363085" w:rsidRPr="003528BE">
        <w:rPr>
          <w:rFonts w:ascii="Arial" w:hAnsi="Arial" w:cs="Arial"/>
          <w:sz w:val="22"/>
          <w:szCs w:val="22"/>
        </w:rPr>
        <w:t xml:space="preserve"> na stavbu</w:t>
      </w:r>
      <w:r w:rsidR="00937000" w:rsidRPr="003528BE">
        <w:rPr>
          <w:rFonts w:ascii="Arial" w:hAnsi="Arial" w:cs="Arial"/>
          <w:b/>
          <w:sz w:val="22"/>
          <w:szCs w:val="22"/>
        </w:rPr>
        <w:t>,</w:t>
      </w:r>
    </w:p>
    <w:p w14:paraId="42470147" w14:textId="44D2427B" w:rsidR="00942BE5" w:rsidRPr="00942BE5" w:rsidRDefault="00770690" w:rsidP="00D31BCB">
      <w:pPr>
        <w:pStyle w:val="Bntext2"/>
        <w:tabs>
          <w:tab w:val="clear" w:pos="-1560"/>
        </w:tabs>
        <w:spacing w:before="120" w:line="288" w:lineRule="auto"/>
        <w:ind w:left="0"/>
        <w:rPr>
          <w:rFonts w:cs="Arial"/>
          <w:szCs w:val="22"/>
        </w:rPr>
      </w:pPr>
      <w:r>
        <w:rPr>
          <w:rFonts w:cs="Arial"/>
          <w:b/>
          <w:spacing w:val="-6"/>
          <w:szCs w:val="22"/>
        </w:rPr>
        <w:t xml:space="preserve">b) </w:t>
      </w:r>
      <w:r w:rsidR="00D31BCB">
        <w:rPr>
          <w:rFonts w:cs="Arial"/>
          <w:b/>
          <w:spacing w:val="-6"/>
          <w:szCs w:val="22"/>
        </w:rPr>
        <w:t xml:space="preserve">minimálně </w:t>
      </w:r>
      <w:r w:rsidR="00E20C2D" w:rsidRPr="00D31BCB">
        <w:rPr>
          <w:rFonts w:cs="Arial"/>
          <w:b/>
          <w:spacing w:val="-6"/>
          <w:szCs w:val="22"/>
        </w:rPr>
        <w:t>1</w:t>
      </w:r>
      <w:r w:rsidR="000C03ED" w:rsidRPr="00D31BCB">
        <w:rPr>
          <w:rFonts w:cs="Arial"/>
          <w:b/>
          <w:spacing w:val="-6"/>
          <w:szCs w:val="22"/>
        </w:rPr>
        <w:t xml:space="preserve"> </w:t>
      </w:r>
      <w:r w:rsidRPr="00D31BCB">
        <w:rPr>
          <w:rFonts w:cs="Arial"/>
          <w:b/>
          <w:spacing w:val="-6"/>
          <w:szCs w:val="22"/>
        </w:rPr>
        <w:t xml:space="preserve">rekonstrukce nebo výstavba </w:t>
      </w:r>
      <w:r w:rsidR="00343446" w:rsidRPr="002066C7">
        <w:rPr>
          <w:rFonts w:cs="Arial"/>
          <w:b/>
          <w:spacing w:val="-6"/>
          <w:szCs w:val="22"/>
        </w:rPr>
        <w:t xml:space="preserve">mostu nebo propustku </w:t>
      </w:r>
      <w:r w:rsidR="008D0DD7">
        <w:rPr>
          <w:rFonts w:cs="Arial"/>
          <w:b/>
          <w:spacing w:val="-6"/>
          <w:szCs w:val="22"/>
        </w:rPr>
        <w:t xml:space="preserve">se světlostí otvoru </w:t>
      </w:r>
      <w:r w:rsidR="00343446" w:rsidRPr="002066C7">
        <w:rPr>
          <w:rFonts w:cs="Arial"/>
          <w:b/>
          <w:spacing w:val="-6"/>
          <w:szCs w:val="22"/>
        </w:rPr>
        <w:t>větší než 1,2</w:t>
      </w:r>
      <w:r w:rsidR="008E6DB9" w:rsidRPr="002066C7">
        <w:rPr>
          <w:rFonts w:cs="Arial"/>
          <w:b/>
          <w:spacing w:val="-6"/>
          <w:szCs w:val="22"/>
        </w:rPr>
        <w:t xml:space="preserve"> </w:t>
      </w:r>
      <w:r w:rsidR="00343446" w:rsidRPr="002066C7">
        <w:rPr>
          <w:rFonts w:cs="Arial"/>
          <w:b/>
          <w:spacing w:val="-6"/>
          <w:szCs w:val="22"/>
        </w:rPr>
        <w:t>m</w:t>
      </w:r>
      <w:r w:rsidRPr="002066C7">
        <w:rPr>
          <w:rFonts w:cs="Arial"/>
          <w:spacing w:val="-6"/>
          <w:szCs w:val="22"/>
        </w:rPr>
        <w:t>.</w:t>
      </w:r>
      <w:r>
        <w:rPr>
          <w:rFonts w:cs="Arial"/>
          <w:spacing w:val="-6"/>
          <w:szCs w:val="22"/>
        </w:rPr>
        <w:t xml:space="preserve"> Tato referenční stavba může být součástí prokazovaných referenčních staveb dle bodu a). </w:t>
      </w:r>
    </w:p>
    <w:p w14:paraId="3908E4AC" w14:textId="77777777" w:rsidR="003528BE" w:rsidRPr="003528BE" w:rsidRDefault="003528BE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12"/>
          <w:szCs w:val="12"/>
        </w:rPr>
      </w:pPr>
    </w:p>
    <w:p w14:paraId="25397932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lastRenderedPageBreak/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28EB3D6B" w14:textId="4EDC69C6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63A00BEF" w14:textId="77777777"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0DF6B668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4CC05A72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0A5A96C4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Vybraný dodavatel je povinen, po vyžádání zadavatele, předložit před uzavřením smlouvy originály či úředně ověřené kopie dokladů o kvalifikaci, pokud již nebyly předloženy. </w:t>
      </w:r>
    </w:p>
    <w:p w14:paraId="50569E64" w14:textId="77777777" w:rsidR="00C1400B" w:rsidRPr="00C65395" w:rsidRDefault="00C1400B" w:rsidP="00CB378D">
      <w:pPr>
        <w:pStyle w:val="2sltext"/>
        <w:numPr>
          <w:ilvl w:val="0"/>
          <w:numId w:val="0"/>
        </w:numPr>
        <w:rPr>
          <w:rFonts w:ascii="Arial" w:hAnsi="Arial"/>
        </w:rPr>
      </w:pPr>
      <w:r w:rsidRPr="00C65395">
        <w:rPr>
          <w:rFonts w:ascii="Arial" w:hAnsi="Arial"/>
        </w:rPr>
        <w:t xml:space="preserve">Doklady prokazující základní způsobilost podle § 74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a profesní způsobilost dle § 77 odst. 1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musí prokazovat splnění požadovaného kritéria způsobilosti nejpozději v</w:t>
      </w:r>
      <w:r w:rsidRPr="00C1400B">
        <w:rPr>
          <w:rFonts w:ascii="Arial" w:hAnsi="Arial" w:cs="Arial"/>
        </w:rPr>
        <w:t xml:space="preserve"> </w:t>
      </w:r>
      <w:r w:rsidRPr="00C65395">
        <w:rPr>
          <w:rFonts w:ascii="Arial" w:hAnsi="Arial"/>
        </w:rPr>
        <w:t xml:space="preserve">době 3 měsíců přede dnem podání nabídky.  </w:t>
      </w:r>
    </w:p>
    <w:p w14:paraId="26073D38" w14:textId="55FC69CF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7EC44D7B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4BDD541B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04F0635C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152061D8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16564F66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0830AAD0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1400B" w:rsidRPr="00C1400B">
        <w:rPr>
          <w:rFonts w:ascii="Arial" w:hAnsi="Arial" w:cs="Arial"/>
        </w:rPr>
        <w:t xml:space="preserve">písemný závazek jiné osoby k poskytnutí plnění určeného k plnění veř. </w:t>
      </w:r>
      <w:proofErr w:type="gramStart"/>
      <w:r w:rsidR="00C1400B" w:rsidRPr="00C1400B">
        <w:rPr>
          <w:rFonts w:ascii="Arial" w:hAnsi="Arial" w:cs="Arial"/>
        </w:rPr>
        <w:t>zakázky</w:t>
      </w:r>
      <w:proofErr w:type="gramEnd"/>
      <w:r w:rsidR="00C1400B" w:rsidRPr="00C1400B">
        <w:rPr>
          <w:rFonts w:ascii="Arial" w:hAnsi="Arial" w:cs="Arial"/>
        </w:rPr>
        <w:t xml:space="preserve"> nebo k poskytnutí věcí nebo práv, s nimiž bude dodavatel oprávněn disponovat v rámci plnění veřejné zakázky, a to alespoň v rozsahu, v jakém jiná osoba prokázala kvalifikaci za dodavatele</w:t>
      </w:r>
    </w:p>
    <w:p w14:paraId="30C9B78B" w14:textId="77777777" w:rsidR="005C114D" w:rsidRPr="00D9738F" w:rsidRDefault="005C114D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45932C7B" w14:textId="77777777"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3A1E547C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389BDECE" w14:textId="77777777" w:rsidR="003528BE" w:rsidRDefault="003528B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</w:p>
    <w:p w14:paraId="4EBF62CC" w14:textId="77777777" w:rsidR="005D7127" w:rsidRDefault="005D7127" w:rsidP="005D7127">
      <w:pPr>
        <w:pStyle w:val="Nadpis2"/>
        <w:rPr>
          <w:u w:val="single"/>
        </w:rPr>
      </w:pPr>
      <w:r w:rsidRPr="005D7127">
        <w:rPr>
          <w:u w:val="single"/>
        </w:rPr>
        <w:lastRenderedPageBreak/>
        <w:t>Další požadavky zadavatel</w:t>
      </w:r>
      <w:r w:rsidR="0072281C">
        <w:rPr>
          <w:u w:val="single"/>
        </w:rPr>
        <w:t>ů</w:t>
      </w:r>
    </w:p>
    <w:p w14:paraId="1F3DFD69" w14:textId="52C36865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 xml:space="preserve">Vybraný dodavatel je povinen předat při podpisu smlouvy o dílo </w:t>
      </w:r>
      <w:r w:rsidR="00986757">
        <w:rPr>
          <w:rFonts w:ascii="Arial" w:hAnsi="Arial" w:cs="Arial"/>
          <w:sz w:val="22"/>
          <w:szCs w:val="22"/>
        </w:rPr>
        <w:t xml:space="preserve">se zadavatelem č. 1 </w:t>
      </w:r>
      <w:r w:rsidRPr="00A3504B">
        <w:rPr>
          <w:rFonts w:ascii="Arial" w:hAnsi="Arial" w:cs="Arial"/>
          <w:sz w:val="22"/>
          <w:szCs w:val="22"/>
        </w:rPr>
        <w:t xml:space="preserve">kopii pojistné smlouvy na pojištění odpovědnosti za škodu způsobenou dodavatelem třetí osobě s minimální pojistnou částkou pojištění odpovědnosti za škodu způsobenou třetím osobám ve výši min. </w:t>
      </w:r>
      <w:r w:rsidR="00216E7F">
        <w:rPr>
          <w:rFonts w:ascii="Arial" w:hAnsi="Arial" w:cs="Arial"/>
          <w:sz w:val="22"/>
          <w:szCs w:val="22"/>
        </w:rPr>
        <w:t>5</w:t>
      </w:r>
      <w:r w:rsidRPr="00A3504B">
        <w:rPr>
          <w:rFonts w:ascii="Arial" w:hAnsi="Arial" w:cs="Arial"/>
          <w:sz w:val="22"/>
          <w:szCs w:val="22"/>
        </w:rPr>
        <w:t xml:space="preserve"> mil. Kč.</w:t>
      </w:r>
    </w:p>
    <w:p w14:paraId="282F5BB2" w14:textId="77777777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</w:p>
    <w:p w14:paraId="3BDD7822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>Dostupnost zadávací dokumentace</w:t>
      </w:r>
      <w:bookmarkEnd w:id="12"/>
      <w:r>
        <w:t xml:space="preserve"> </w:t>
      </w:r>
      <w:bookmarkEnd w:id="13"/>
      <w:r w:rsidRPr="009550B1">
        <w:t xml:space="preserve"> </w:t>
      </w:r>
      <w:r>
        <w:t xml:space="preserve"> </w:t>
      </w:r>
    </w:p>
    <w:p w14:paraId="3A567A3B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9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229C0705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56C61FA2" w14:textId="77777777" w:rsidR="00D932AA" w:rsidRPr="00D932AA" w:rsidRDefault="00D932AA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8"/>
          <w:szCs w:val="8"/>
        </w:rPr>
      </w:pPr>
    </w:p>
    <w:p w14:paraId="09B87B5F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0561A61C" w14:textId="77777777"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14:paraId="0E2E354D" w14:textId="77777777"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14:paraId="1DBF7622" w14:textId="77777777" w:rsidR="00611A98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</w:t>
      </w:r>
      <w:r w:rsidR="0077025C">
        <w:rPr>
          <w:rFonts w:ascii="Arial" w:hAnsi="Arial" w:cs="Arial"/>
          <w:sz w:val="22"/>
          <w:szCs w:val="22"/>
        </w:rPr>
        <w:t>pro oba zadavatele</w:t>
      </w:r>
    </w:p>
    <w:p w14:paraId="5523C1CE" w14:textId="77777777" w:rsidR="0042749D" w:rsidRPr="00176362" w:rsidRDefault="0042749D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Seznam poddodavatelů</w:t>
      </w:r>
    </w:p>
    <w:p w14:paraId="57CED24D" w14:textId="77777777" w:rsidR="00D924A2" w:rsidRPr="0017636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Projektová dokumentace ve stupni D</w:t>
      </w:r>
      <w:r w:rsidR="00343446">
        <w:rPr>
          <w:rFonts w:ascii="Arial" w:hAnsi="Arial" w:cs="Arial"/>
          <w:sz w:val="22"/>
          <w:szCs w:val="22"/>
        </w:rPr>
        <w:t>U</w:t>
      </w:r>
      <w:r w:rsidRPr="00176362">
        <w:rPr>
          <w:rFonts w:ascii="Arial" w:hAnsi="Arial" w:cs="Arial"/>
          <w:sz w:val="22"/>
          <w:szCs w:val="22"/>
        </w:rPr>
        <w:t>SP „II/</w:t>
      </w:r>
      <w:r w:rsidR="00343446">
        <w:rPr>
          <w:rFonts w:ascii="Arial" w:hAnsi="Arial" w:cs="Arial"/>
          <w:sz w:val="22"/>
          <w:szCs w:val="22"/>
        </w:rPr>
        <w:t>403 Jestřebí - průtah“, vypracovaná společností DOPRAPLAN s.r.o.</w:t>
      </w:r>
      <w:r w:rsidRPr="00176362">
        <w:rPr>
          <w:rFonts w:ascii="Arial" w:hAnsi="Arial" w:cs="Arial"/>
          <w:sz w:val="22"/>
          <w:szCs w:val="22"/>
        </w:rPr>
        <w:t xml:space="preserve"> v digitální podobě</w:t>
      </w:r>
    </w:p>
    <w:p w14:paraId="3466C557" w14:textId="77777777" w:rsidR="00D924A2" w:rsidRPr="00176362" w:rsidRDefault="00D924A2" w:rsidP="0091763C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Projektová dokumentace stupně PDPS „II/</w:t>
      </w:r>
      <w:r w:rsidR="00343446">
        <w:rPr>
          <w:rFonts w:ascii="Arial" w:hAnsi="Arial" w:cs="Arial"/>
          <w:sz w:val="22"/>
          <w:szCs w:val="22"/>
        </w:rPr>
        <w:t>403 Jestřebí - průtah</w:t>
      </w:r>
      <w:r w:rsidRPr="00176362">
        <w:rPr>
          <w:rFonts w:ascii="Arial" w:hAnsi="Arial" w:cs="Arial"/>
          <w:sz w:val="22"/>
          <w:szCs w:val="22"/>
        </w:rPr>
        <w:t xml:space="preserve">“, vypracovaná společností </w:t>
      </w:r>
      <w:r w:rsidR="00343446">
        <w:rPr>
          <w:rFonts w:ascii="Arial" w:hAnsi="Arial" w:cs="Arial"/>
          <w:sz w:val="22"/>
          <w:szCs w:val="22"/>
        </w:rPr>
        <w:t>DOPRAPLAN s.r.o.</w:t>
      </w:r>
      <w:r w:rsidRPr="00176362">
        <w:rPr>
          <w:rFonts w:ascii="Arial" w:hAnsi="Arial" w:cs="Arial"/>
          <w:sz w:val="22"/>
          <w:szCs w:val="22"/>
        </w:rPr>
        <w:t xml:space="preserve">  včetně  soupisu prací v digitální podobě</w:t>
      </w:r>
    </w:p>
    <w:p w14:paraId="65AD6DA0" w14:textId="77777777" w:rsidR="00D924A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Stavební povolení č. j.: </w:t>
      </w:r>
      <w:r w:rsidR="006413A5">
        <w:rPr>
          <w:rFonts w:ascii="Arial" w:hAnsi="Arial" w:cs="Arial"/>
          <w:sz w:val="22"/>
          <w:szCs w:val="22"/>
        </w:rPr>
        <w:t>MMJ/OD/185138/2021-ObF</w:t>
      </w:r>
      <w:r w:rsidRPr="00176362">
        <w:rPr>
          <w:rFonts w:ascii="Arial" w:hAnsi="Arial" w:cs="Arial"/>
          <w:sz w:val="22"/>
          <w:szCs w:val="22"/>
        </w:rPr>
        <w:t xml:space="preserve"> vydané odborem dopravy </w:t>
      </w:r>
      <w:r w:rsidR="006413A5">
        <w:rPr>
          <w:rFonts w:ascii="Arial" w:hAnsi="Arial" w:cs="Arial"/>
          <w:sz w:val="22"/>
          <w:szCs w:val="22"/>
        </w:rPr>
        <w:t>Magistrátu města Jihlavy</w:t>
      </w:r>
      <w:r w:rsidRPr="00176362">
        <w:rPr>
          <w:rFonts w:ascii="Arial" w:hAnsi="Arial" w:cs="Arial"/>
          <w:sz w:val="22"/>
          <w:szCs w:val="22"/>
        </w:rPr>
        <w:t xml:space="preserve"> dne </w:t>
      </w:r>
      <w:r w:rsidR="006413A5">
        <w:rPr>
          <w:rFonts w:ascii="Arial" w:hAnsi="Arial" w:cs="Arial"/>
          <w:sz w:val="22"/>
          <w:szCs w:val="22"/>
        </w:rPr>
        <w:t>10. 9. 2021 s NPM 14. 10. 2021</w:t>
      </w:r>
    </w:p>
    <w:p w14:paraId="495376DB" w14:textId="77777777" w:rsidR="00EC4D1B" w:rsidRPr="00176362" w:rsidRDefault="00EC4D1B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Situace stavby </w:t>
      </w:r>
      <w:r>
        <w:rPr>
          <w:rFonts w:ascii="Arial" w:hAnsi="Arial" w:cs="Arial"/>
          <w:sz w:val="22"/>
          <w:szCs w:val="22"/>
          <w:lang w:eastAsia="ar-SA"/>
        </w:rPr>
        <w:t>„Jestřebí, kabel VN, TS, posílení NN“ (ZAME servisní, s.r.o.</w:t>
      </w:r>
      <w:r w:rsidRPr="00170C74">
        <w:rPr>
          <w:rFonts w:ascii="Arial" w:hAnsi="Arial" w:cs="Arial"/>
          <w:sz w:val="22"/>
          <w:szCs w:val="22"/>
          <w:lang w:eastAsia="ar-SA"/>
        </w:rPr>
        <w:t>).</w:t>
      </w:r>
    </w:p>
    <w:p w14:paraId="22038055" w14:textId="77777777" w:rsidR="006F7F06" w:rsidRPr="00F14F51" w:rsidRDefault="006F7F06" w:rsidP="00D924A2">
      <w:pPr>
        <w:pStyle w:val="Odstavecseseznamem"/>
        <w:spacing w:line="264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7B5F0F5F" w14:textId="77777777"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08DDAF31" w14:textId="77777777" w:rsidR="00E82935" w:rsidRP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, že na zadávanou veřejnou zakázku se uplatní </w:t>
      </w:r>
      <w:proofErr w:type="spellStart"/>
      <w:r w:rsidRPr="00E82935">
        <w:rPr>
          <w:rFonts w:ascii="Arial" w:hAnsi="Arial" w:cs="Arial"/>
          <w:sz w:val="22"/>
          <w:szCs w:val="22"/>
        </w:rPr>
        <w:t>ust</w:t>
      </w:r>
      <w:proofErr w:type="spellEnd"/>
      <w:r w:rsidRPr="00E82935">
        <w:rPr>
          <w:rFonts w:ascii="Arial" w:hAnsi="Arial" w:cs="Arial"/>
          <w:sz w:val="22"/>
          <w:szCs w:val="22"/>
        </w:rPr>
        <w:t xml:space="preserve">. § 211 odst. 3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3B96B20F" w14:textId="77777777"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1F39B953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048770C2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5AFD8084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A383114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68BFA009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1A6B55F5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22CD65EE" w14:textId="2E25287F" w:rsidR="00DE42B3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628F5C90" w14:textId="77777777" w:rsidR="00554998" w:rsidRPr="00797D57" w:rsidRDefault="00554998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CCC31B4" w14:textId="77777777" w:rsidR="00DE42B3" w:rsidRPr="009550B1" w:rsidRDefault="00DE42B3" w:rsidP="00DE42B3">
      <w:pPr>
        <w:pStyle w:val="Nadpis1"/>
      </w:pPr>
      <w:r>
        <w:lastRenderedPageBreak/>
        <w:t xml:space="preserve">  V</w:t>
      </w:r>
      <w:r w:rsidRPr="00A93D23">
        <w:t>ysvětlení zadávací dokumentace</w:t>
      </w:r>
    </w:p>
    <w:p w14:paraId="009BA2DB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6DC36494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14:paraId="7BF6645E" w14:textId="77777777"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36757764" w14:textId="77777777" w:rsidR="00797D57" w:rsidRPr="00D93D3A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5371F9F0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4" w:name="_Toc464637807"/>
      <w:r w:rsidRPr="00F25070">
        <w:t>Podmínky sestavení a podání nabídk</w:t>
      </w:r>
      <w:bookmarkEnd w:id="14"/>
      <w:r w:rsidR="00DD1BCE">
        <w:t>y</w:t>
      </w:r>
    </w:p>
    <w:p w14:paraId="568E5862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5" w:name="_Toc464039182"/>
      <w:bookmarkStart w:id="16" w:name="_Toc464637808"/>
      <w:r w:rsidRPr="005513F4">
        <w:rPr>
          <w:sz w:val="22"/>
          <w:szCs w:val="22"/>
        </w:rPr>
        <w:t>Požadavky na způsob zpracování nabídkové ceny</w:t>
      </w:r>
      <w:bookmarkEnd w:id="15"/>
      <w:bookmarkEnd w:id="16"/>
    </w:p>
    <w:p w14:paraId="2DE18C88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40D90A95" w14:textId="77777777"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14:paraId="6177D36A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4CF668D1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7" w:name="_Toc464039183"/>
      <w:bookmarkStart w:id="18" w:name="_Toc464637809"/>
      <w:r w:rsidRPr="005513F4">
        <w:rPr>
          <w:sz w:val="22"/>
          <w:szCs w:val="22"/>
        </w:rPr>
        <w:t xml:space="preserve">Požadavky na </w:t>
      </w:r>
      <w:bookmarkEnd w:id="17"/>
      <w:r w:rsidR="00217B4D" w:rsidRPr="005513F4">
        <w:rPr>
          <w:sz w:val="22"/>
          <w:szCs w:val="22"/>
        </w:rPr>
        <w:t>předložení soupisu prací</w:t>
      </w:r>
      <w:bookmarkEnd w:id="18"/>
    </w:p>
    <w:p w14:paraId="241FF591" w14:textId="77777777" w:rsidR="006A4B08" w:rsidRPr="007B67F5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  <w:highlight w:val="yellow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D932AA">
        <w:rPr>
          <w:rFonts w:cs="Arial"/>
          <w:b/>
          <w:bCs/>
          <w:szCs w:val="22"/>
        </w:rPr>
        <w:t>Zadavatel</w:t>
      </w:r>
      <w:r w:rsidR="00295675">
        <w:rPr>
          <w:rFonts w:cs="Arial"/>
          <w:b/>
          <w:bCs/>
          <w:szCs w:val="22"/>
        </w:rPr>
        <w:t>é</w:t>
      </w:r>
      <w:r w:rsidR="005303FA" w:rsidRPr="00D932AA">
        <w:rPr>
          <w:rFonts w:cs="Arial"/>
          <w:b/>
          <w:bCs/>
          <w:szCs w:val="22"/>
        </w:rPr>
        <w:t xml:space="preserve"> </w:t>
      </w:r>
      <w:r w:rsidR="00217B4D" w:rsidRPr="00D932AA">
        <w:rPr>
          <w:rFonts w:cs="Arial"/>
          <w:b/>
          <w:bCs/>
          <w:szCs w:val="22"/>
        </w:rPr>
        <w:t>požaduj</w:t>
      </w:r>
      <w:r w:rsidR="00295675">
        <w:rPr>
          <w:rFonts w:cs="Arial"/>
          <w:b/>
          <w:bCs/>
          <w:szCs w:val="22"/>
        </w:rPr>
        <w:t>í</w:t>
      </w:r>
      <w:r w:rsidR="00217B4D" w:rsidRPr="00D932AA">
        <w:rPr>
          <w:rFonts w:cs="Arial"/>
          <w:b/>
          <w:bCs/>
          <w:szCs w:val="22"/>
        </w:rPr>
        <w:t xml:space="preserve"> předložit digitální podobu oceněného soupisu prací v datovém formátu XC4</w:t>
      </w:r>
      <w:r w:rsidR="005303FA" w:rsidRPr="00D932AA">
        <w:rPr>
          <w:rFonts w:cs="Arial"/>
          <w:b/>
          <w:bCs/>
          <w:szCs w:val="22"/>
        </w:rPr>
        <w:t xml:space="preserve">. </w:t>
      </w:r>
    </w:p>
    <w:p w14:paraId="791C74C5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53B89324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6AF1A35E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10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53153E70" w14:textId="77777777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7109411A" w14:textId="77777777"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14:paraId="0B136A4D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637810"/>
      <w:r w:rsidRPr="005513F4">
        <w:rPr>
          <w:sz w:val="22"/>
          <w:szCs w:val="22"/>
        </w:rPr>
        <w:lastRenderedPageBreak/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9"/>
      <w:r w:rsidR="00DD1BCE">
        <w:rPr>
          <w:sz w:val="22"/>
          <w:szCs w:val="22"/>
        </w:rPr>
        <w:t>y</w:t>
      </w:r>
    </w:p>
    <w:p w14:paraId="02E1B629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2816007D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6F1D7AB9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20" w:name="_Toc464039192"/>
      <w:bookmarkStart w:id="21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20"/>
      <w:bookmarkEnd w:id="21"/>
      <w:r w:rsidRPr="005513F4">
        <w:rPr>
          <w:sz w:val="22"/>
          <w:szCs w:val="22"/>
        </w:rPr>
        <w:t xml:space="preserve"> </w:t>
      </w:r>
    </w:p>
    <w:p w14:paraId="58FA0EB4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0C130734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51081A60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EE8AF77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7FA032DB" w14:textId="77777777"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3FCBF877" w14:textId="77777777"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0F07BF48" w14:textId="77777777" w:rsidR="00A764F9" w:rsidRP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Časový harmonogram plnění v</w:t>
      </w:r>
      <w:r w:rsid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členění po </w:t>
      </w:r>
      <w:r w:rsidR="00733B8F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14:paraId="3741DCA9" w14:textId="3531D8C1" w:rsid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Návrh platebního kalendáře v členění po měsících</w:t>
      </w:r>
    </w:p>
    <w:p w14:paraId="2CFAF46C" w14:textId="77777777" w:rsidR="00A06A58" w:rsidRPr="00D20079" w:rsidRDefault="00A06A58" w:rsidP="00A06A58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74BB1F60" w14:textId="77777777"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Oceněný soupis prací</w:t>
      </w:r>
    </w:p>
    <w:p w14:paraId="49AF99DD" w14:textId="77777777"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70AE9404" w14:textId="77777777" w:rsid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74714A65" w14:textId="083D8C0E" w:rsidR="0042749D" w:rsidRDefault="0042749D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3C32A6EA" w14:textId="77777777" w:rsidR="00E13135" w:rsidRDefault="00E13135" w:rsidP="00E13135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68A98FB2" w14:textId="77777777"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</w:p>
    <w:p w14:paraId="4BFA7F6C" w14:textId="7BBBB788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r w:rsidR="00CE7766" w:rsidRPr="00CE7766">
        <w:rPr>
          <w:rFonts w:ascii="Arial" w:hAnsi="Arial" w:cs="Arial"/>
          <w:b/>
          <w:sz w:val="22"/>
          <w:szCs w:val="22"/>
        </w:rPr>
        <w:t>23</w:t>
      </w:r>
      <w:r w:rsidR="00BC0F5A" w:rsidRPr="00CE7766">
        <w:rPr>
          <w:rFonts w:ascii="Arial" w:hAnsi="Arial" w:cs="Arial"/>
          <w:b/>
          <w:sz w:val="22"/>
          <w:szCs w:val="22"/>
        </w:rPr>
        <w:t xml:space="preserve">. </w:t>
      </w:r>
      <w:r w:rsidR="00FC6315" w:rsidRPr="00CE7766">
        <w:rPr>
          <w:rFonts w:ascii="Arial" w:hAnsi="Arial" w:cs="Arial"/>
          <w:b/>
          <w:sz w:val="22"/>
          <w:szCs w:val="22"/>
        </w:rPr>
        <w:t>1</w:t>
      </w:r>
      <w:r w:rsidR="00CE7766" w:rsidRPr="00CE7766">
        <w:rPr>
          <w:rFonts w:ascii="Arial" w:hAnsi="Arial" w:cs="Arial"/>
          <w:b/>
          <w:sz w:val="22"/>
          <w:szCs w:val="22"/>
        </w:rPr>
        <w:t>1</w:t>
      </w:r>
      <w:r w:rsidR="00BC0F5A" w:rsidRPr="00CE7766">
        <w:rPr>
          <w:rFonts w:ascii="Arial" w:hAnsi="Arial" w:cs="Arial"/>
          <w:b/>
          <w:sz w:val="22"/>
          <w:szCs w:val="22"/>
        </w:rPr>
        <w:t>.</w:t>
      </w:r>
      <w:r w:rsidRPr="00CE7766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CE7766">
        <w:rPr>
          <w:rFonts w:ascii="Arial" w:hAnsi="Arial" w:cs="Arial"/>
          <w:b/>
          <w:sz w:val="22"/>
          <w:szCs w:val="22"/>
        </w:rPr>
        <w:t>2</w:t>
      </w:r>
      <w:r w:rsidR="00566F9F" w:rsidRPr="00CE7766">
        <w:rPr>
          <w:rFonts w:ascii="Arial" w:hAnsi="Arial" w:cs="Arial"/>
          <w:b/>
          <w:sz w:val="22"/>
          <w:szCs w:val="22"/>
        </w:rPr>
        <w:t>2</w:t>
      </w:r>
      <w:r w:rsidRPr="00EF705F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EF705F">
        <w:rPr>
          <w:rFonts w:ascii="Arial" w:hAnsi="Arial" w:cs="Arial"/>
          <w:b/>
          <w:sz w:val="22"/>
          <w:szCs w:val="22"/>
        </w:rPr>
        <w:t>0</w:t>
      </w:r>
      <w:r w:rsidRPr="00EF705F">
        <w:rPr>
          <w:rFonts w:ascii="Arial" w:hAnsi="Arial" w:cs="Arial"/>
          <w:b/>
          <w:sz w:val="22"/>
          <w:szCs w:val="22"/>
        </w:rPr>
        <w:t xml:space="preserve">:00 hod. </w:t>
      </w:r>
    </w:p>
    <w:p w14:paraId="63F73151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1D2BDD86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36DE2324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02F6DE2B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53B5D30A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016E020D" w14:textId="77777777"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14:paraId="745167EA" w14:textId="77777777"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lastRenderedPageBreak/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14:paraId="720C68E1" w14:textId="77777777"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14:paraId="61206244" w14:textId="77777777" w:rsidR="00C80A97" w:rsidRPr="00D932AA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  <w:r>
        <w:rPr>
          <w:rFonts w:ascii="Arial" w:hAnsi="Arial" w:cs="Arial"/>
          <w:sz w:val="22"/>
          <w:szCs w:val="22"/>
        </w:rPr>
        <w:t xml:space="preserve">  </w:t>
      </w:r>
    </w:p>
    <w:p w14:paraId="3266C583" w14:textId="77777777" w:rsidR="00023239" w:rsidRDefault="00023239" w:rsidP="00023239">
      <w:pPr>
        <w:pStyle w:val="Nadpis1"/>
        <w:rPr>
          <w:sz w:val="22"/>
          <w:szCs w:val="22"/>
        </w:rPr>
      </w:pPr>
      <w:r w:rsidRPr="00023239">
        <w:t>Další podmínky zadávacího řízení a práva zadavatelů</w:t>
      </w:r>
    </w:p>
    <w:p w14:paraId="2BB40144" w14:textId="5BF5210D"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09DC3989" w14:textId="77777777" w:rsidR="00A06A58" w:rsidRDefault="00A06A58" w:rsidP="00A06A5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14:paraId="6097E7A0" w14:textId="77777777" w:rsidR="00A06A58" w:rsidRDefault="00A06A58" w:rsidP="00A06A5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33A15CE7" w14:textId="77777777" w:rsidR="00EC5BB9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5075E388" w14:textId="77777777" w:rsidR="00D932AA" w:rsidRDefault="00D932AA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55A6BB89" w14:textId="77777777" w:rsidR="00D932AA" w:rsidRDefault="00D932AA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78755C85" w14:textId="77777777" w:rsidR="00D932AA" w:rsidRPr="008A4F6F" w:rsidRDefault="00D932AA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496B4DC8" w14:textId="77777777"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14:paraId="3493C80D" w14:textId="77777777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14:paraId="246E5EC2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39360F9E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A0203C0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6A56D768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209297E3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32D9908B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14:paraId="5F8AFD5C" w14:textId="77777777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2269C98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4E525BD1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lastRenderedPageBreak/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14:paraId="489950A5" w14:textId="77777777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14:paraId="3CB79D1D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6B132CD6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59ABFCA3" w14:textId="46E22E48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</w:t>
      </w:r>
    </w:p>
    <w:p w14:paraId="3607CC76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643B9D23" w14:textId="0457F04A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3CA9EA2D" w14:textId="77777777" w:rsidR="00120E29" w:rsidRDefault="00120E29" w:rsidP="004F2540">
      <w:pPr>
        <w:rPr>
          <w:rFonts w:ascii="Arial" w:hAnsi="Arial" w:cs="Arial"/>
          <w:sz w:val="22"/>
          <w:szCs w:val="22"/>
        </w:rPr>
      </w:pPr>
    </w:p>
    <w:p w14:paraId="5E08327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7B85B907" w14:textId="77777777"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541836A8" w14:textId="77777777"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120E29">
      <w:headerReference w:type="default" r:id="rId11"/>
      <w:footerReference w:type="default" r:id="rId12"/>
      <w:pgSz w:w="11906" w:h="16838"/>
      <w:pgMar w:top="1021" w:right="1021" w:bottom="1021" w:left="1021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1369E" w14:textId="77777777" w:rsidR="00750D4F" w:rsidRDefault="00750D4F">
      <w:r>
        <w:separator/>
      </w:r>
    </w:p>
  </w:endnote>
  <w:endnote w:type="continuationSeparator" w:id="0">
    <w:p w14:paraId="2226D48F" w14:textId="77777777" w:rsidR="00750D4F" w:rsidRDefault="00750D4F">
      <w:r>
        <w:continuationSeparator/>
      </w:r>
    </w:p>
  </w:endnote>
  <w:endnote w:type="continuationNotice" w:id="1">
    <w:p w14:paraId="33BC1AF8" w14:textId="77777777" w:rsidR="00750D4F" w:rsidRDefault="00750D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E6929" w14:textId="780D676E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903D3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2903D3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4E4C20" w14:textId="77777777" w:rsidR="00750D4F" w:rsidRDefault="00750D4F">
      <w:r>
        <w:separator/>
      </w:r>
    </w:p>
  </w:footnote>
  <w:footnote w:type="continuationSeparator" w:id="0">
    <w:p w14:paraId="10980D04" w14:textId="77777777" w:rsidR="00750D4F" w:rsidRDefault="00750D4F">
      <w:r>
        <w:continuationSeparator/>
      </w:r>
    </w:p>
  </w:footnote>
  <w:footnote w:type="continuationNotice" w:id="1">
    <w:p w14:paraId="6422EED0" w14:textId="77777777" w:rsidR="00750D4F" w:rsidRDefault="00750D4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FE4AD3" w14:textId="77777777" w:rsidR="0067017B" w:rsidRDefault="0067017B">
    <w:pPr>
      <w:pStyle w:val="Zhlav"/>
    </w:pPr>
  </w:p>
  <w:p w14:paraId="29894D3B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9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0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19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0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0"/>
  </w:num>
  <w:num w:numId="2">
    <w:abstractNumId w:val="9"/>
  </w:num>
  <w:num w:numId="3">
    <w:abstractNumId w:val="23"/>
  </w:num>
  <w:num w:numId="4">
    <w:abstractNumId w:val="18"/>
  </w:num>
  <w:num w:numId="5">
    <w:abstractNumId w:val="7"/>
  </w:num>
  <w:num w:numId="6">
    <w:abstractNumId w:val="16"/>
  </w:num>
  <w:num w:numId="7">
    <w:abstractNumId w:val="1"/>
  </w:num>
  <w:num w:numId="8">
    <w:abstractNumId w:val="8"/>
  </w:num>
  <w:num w:numId="9">
    <w:abstractNumId w:val="22"/>
  </w:num>
  <w:num w:numId="10">
    <w:abstractNumId w:val="13"/>
  </w:num>
  <w:num w:numId="11">
    <w:abstractNumId w:val="4"/>
  </w:num>
  <w:num w:numId="12">
    <w:abstractNumId w:val="19"/>
  </w:num>
  <w:num w:numId="13">
    <w:abstractNumId w:val="12"/>
  </w:num>
  <w:num w:numId="14">
    <w:abstractNumId w:val="21"/>
  </w:num>
  <w:num w:numId="15">
    <w:abstractNumId w:val="17"/>
  </w:num>
  <w:num w:numId="16">
    <w:abstractNumId w:val="14"/>
  </w:num>
  <w:num w:numId="17">
    <w:abstractNumId w:val="11"/>
  </w:num>
  <w:num w:numId="18">
    <w:abstractNumId w:val="5"/>
  </w:num>
  <w:num w:numId="19">
    <w:abstractNumId w:val="6"/>
  </w:num>
  <w:num w:numId="20">
    <w:abstractNumId w:val="3"/>
  </w:num>
  <w:num w:numId="21">
    <w:abstractNumId w:val="2"/>
  </w:num>
  <w:num w:numId="22">
    <w:abstractNumId w:val="15"/>
  </w:num>
  <w:num w:numId="23">
    <w:abstractNumId w:val="0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64BA"/>
    <w:rsid w:val="00057546"/>
    <w:rsid w:val="00057D4A"/>
    <w:rsid w:val="00060A49"/>
    <w:rsid w:val="0006352A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3439"/>
    <w:rsid w:val="000844B3"/>
    <w:rsid w:val="000849EC"/>
    <w:rsid w:val="00090E82"/>
    <w:rsid w:val="000914F6"/>
    <w:rsid w:val="00092C2E"/>
    <w:rsid w:val="00093720"/>
    <w:rsid w:val="000944F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606C"/>
    <w:rsid w:val="00117303"/>
    <w:rsid w:val="00117CCE"/>
    <w:rsid w:val="00120E29"/>
    <w:rsid w:val="00120ED3"/>
    <w:rsid w:val="00122EB4"/>
    <w:rsid w:val="001251FB"/>
    <w:rsid w:val="00125C86"/>
    <w:rsid w:val="00127A6A"/>
    <w:rsid w:val="00127CEB"/>
    <w:rsid w:val="00130267"/>
    <w:rsid w:val="00133EF7"/>
    <w:rsid w:val="00134369"/>
    <w:rsid w:val="00137C61"/>
    <w:rsid w:val="00141993"/>
    <w:rsid w:val="00141EC3"/>
    <w:rsid w:val="001423D0"/>
    <w:rsid w:val="00142AEF"/>
    <w:rsid w:val="001462D8"/>
    <w:rsid w:val="00146BCC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246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BD4"/>
    <w:rsid w:val="001B7DA4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175F"/>
    <w:rsid w:val="001E191C"/>
    <w:rsid w:val="001E3FEB"/>
    <w:rsid w:val="001E404B"/>
    <w:rsid w:val="001E5AE5"/>
    <w:rsid w:val="001F215C"/>
    <w:rsid w:val="001F32A5"/>
    <w:rsid w:val="001F3C04"/>
    <w:rsid w:val="001F6357"/>
    <w:rsid w:val="00200254"/>
    <w:rsid w:val="00200850"/>
    <w:rsid w:val="0020227A"/>
    <w:rsid w:val="00203348"/>
    <w:rsid w:val="00203D97"/>
    <w:rsid w:val="00206423"/>
    <w:rsid w:val="002066C7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37F8"/>
    <w:rsid w:val="002740FF"/>
    <w:rsid w:val="00274E08"/>
    <w:rsid w:val="00275067"/>
    <w:rsid w:val="00275089"/>
    <w:rsid w:val="00275E85"/>
    <w:rsid w:val="002774D6"/>
    <w:rsid w:val="00281D4A"/>
    <w:rsid w:val="002846B1"/>
    <w:rsid w:val="00286A2A"/>
    <w:rsid w:val="002903D3"/>
    <w:rsid w:val="00290981"/>
    <w:rsid w:val="0029341B"/>
    <w:rsid w:val="002945A3"/>
    <w:rsid w:val="002945C8"/>
    <w:rsid w:val="00294A9B"/>
    <w:rsid w:val="00295675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4D5C"/>
    <w:rsid w:val="002B51C3"/>
    <w:rsid w:val="002B57E8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8AA"/>
    <w:rsid w:val="002E2684"/>
    <w:rsid w:val="002E308A"/>
    <w:rsid w:val="002E3827"/>
    <w:rsid w:val="002E53A7"/>
    <w:rsid w:val="002E6604"/>
    <w:rsid w:val="002E7671"/>
    <w:rsid w:val="002F0B3C"/>
    <w:rsid w:val="002F1264"/>
    <w:rsid w:val="002F2D37"/>
    <w:rsid w:val="002F3830"/>
    <w:rsid w:val="002F392E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17F"/>
    <w:rsid w:val="0034233D"/>
    <w:rsid w:val="003429C8"/>
    <w:rsid w:val="00342C27"/>
    <w:rsid w:val="00343446"/>
    <w:rsid w:val="00343ED9"/>
    <w:rsid w:val="00345849"/>
    <w:rsid w:val="003509F6"/>
    <w:rsid w:val="00350BB9"/>
    <w:rsid w:val="00350BD0"/>
    <w:rsid w:val="00350C41"/>
    <w:rsid w:val="00351177"/>
    <w:rsid w:val="003519A1"/>
    <w:rsid w:val="00352606"/>
    <w:rsid w:val="003528BE"/>
    <w:rsid w:val="00352AA0"/>
    <w:rsid w:val="0035389E"/>
    <w:rsid w:val="00354122"/>
    <w:rsid w:val="003546F7"/>
    <w:rsid w:val="00354A5A"/>
    <w:rsid w:val="00354A78"/>
    <w:rsid w:val="00356A5E"/>
    <w:rsid w:val="003576F9"/>
    <w:rsid w:val="0036248A"/>
    <w:rsid w:val="00363085"/>
    <w:rsid w:val="003632D3"/>
    <w:rsid w:val="003636FC"/>
    <w:rsid w:val="003657AA"/>
    <w:rsid w:val="00367040"/>
    <w:rsid w:val="00370574"/>
    <w:rsid w:val="003707FF"/>
    <w:rsid w:val="00370D0E"/>
    <w:rsid w:val="00370FB2"/>
    <w:rsid w:val="00371DFD"/>
    <w:rsid w:val="00372A25"/>
    <w:rsid w:val="00372C91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CA4"/>
    <w:rsid w:val="00383CE0"/>
    <w:rsid w:val="00384FBD"/>
    <w:rsid w:val="0039307E"/>
    <w:rsid w:val="0039501E"/>
    <w:rsid w:val="00396E02"/>
    <w:rsid w:val="00397B41"/>
    <w:rsid w:val="003A0251"/>
    <w:rsid w:val="003A1B7E"/>
    <w:rsid w:val="003A20C3"/>
    <w:rsid w:val="003A24B5"/>
    <w:rsid w:val="003A2E3D"/>
    <w:rsid w:val="003A549F"/>
    <w:rsid w:val="003B09D3"/>
    <w:rsid w:val="003B2905"/>
    <w:rsid w:val="003B2E5B"/>
    <w:rsid w:val="003B2EE6"/>
    <w:rsid w:val="003B4243"/>
    <w:rsid w:val="003B5F08"/>
    <w:rsid w:val="003B7933"/>
    <w:rsid w:val="003C0D10"/>
    <w:rsid w:val="003C1CAB"/>
    <w:rsid w:val="003C20EF"/>
    <w:rsid w:val="003C2A6F"/>
    <w:rsid w:val="003C2DDA"/>
    <w:rsid w:val="003C2E6C"/>
    <w:rsid w:val="003C3659"/>
    <w:rsid w:val="003C3E02"/>
    <w:rsid w:val="003C54AE"/>
    <w:rsid w:val="003C6200"/>
    <w:rsid w:val="003C6514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1D66"/>
    <w:rsid w:val="00423D92"/>
    <w:rsid w:val="00424F93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1A99"/>
    <w:rsid w:val="0044539D"/>
    <w:rsid w:val="00445E6D"/>
    <w:rsid w:val="00445EB4"/>
    <w:rsid w:val="00446095"/>
    <w:rsid w:val="004474AC"/>
    <w:rsid w:val="004478D5"/>
    <w:rsid w:val="00450B6C"/>
    <w:rsid w:val="004521FC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8671A"/>
    <w:rsid w:val="004910F0"/>
    <w:rsid w:val="00491AB2"/>
    <w:rsid w:val="004920BB"/>
    <w:rsid w:val="00492CDB"/>
    <w:rsid w:val="00492D67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BE3"/>
    <w:rsid w:val="004A2FC7"/>
    <w:rsid w:val="004A6E5C"/>
    <w:rsid w:val="004B0287"/>
    <w:rsid w:val="004B05BE"/>
    <w:rsid w:val="004B3C51"/>
    <w:rsid w:val="004B4E38"/>
    <w:rsid w:val="004B501E"/>
    <w:rsid w:val="004B65DC"/>
    <w:rsid w:val="004B69F2"/>
    <w:rsid w:val="004B6A27"/>
    <w:rsid w:val="004B6A28"/>
    <w:rsid w:val="004C2777"/>
    <w:rsid w:val="004C2BE7"/>
    <w:rsid w:val="004C380A"/>
    <w:rsid w:val="004C4706"/>
    <w:rsid w:val="004C55C3"/>
    <w:rsid w:val="004C5606"/>
    <w:rsid w:val="004C7365"/>
    <w:rsid w:val="004D0433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ED"/>
    <w:rsid w:val="0052127B"/>
    <w:rsid w:val="00523AB8"/>
    <w:rsid w:val="00524193"/>
    <w:rsid w:val="005244C1"/>
    <w:rsid w:val="0052540F"/>
    <w:rsid w:val="00526109"/>
    <w:rsid w:val="005303FA"/>
    <w:rsid w:val="00530665"/>
    <w:rsid w:val="00531044"/>
    <w:rsid w:val="005323C2"/>
    <w:rsid w:val="00534118"/>
    <w:rsid w:val="00536E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4998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6028"/>
    <w:rsid w:val="00566F9F"/>
    <w:rsid w:val="0056700C"/>
    <w:rsid w:val="00567318"/>
    <w:rsid w:val="005676EB"/>
    <w:rsid w:val="00570E2A"/>
    <w:rsid w:val="00570FC3"/>
    <w:rsid w:val="0057410F"/>
    <w:rsid w:val="00577B0B"/>
    <w:rsid w:val="005806C5"/>
    <w:rsid w:val="00580F4A"/>
    <w:rsid w:val="00582C6F"/>
    <w:rsid w:val="00584CC1"/>
    <w:rsid w:val="005854B2"/>
    <w:rsid w:val="0058565B"/>
    <w:rsid w:val="005869E3"/>
    <w:rsid w:val="00590878"/>
    <w:rsid w:val="00590F3E"/>
    <w:rsid w:val="00591627"/>
    <w:rsid w:val="005937E2"/>
    <w:rsid w:val="0059480F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6416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16867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0897"/>
    <w:rsid w:val="006412EE"/>
    <w:rsid w:val="006413A5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64B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EFA"/>
    <w:rsid w:val="006C0CB2"/>
    <w:rsid w:val="006C1F24"/>
    <w:rsid w:val="006C2AB4"/>
    <w:rsid w:val="006C3299"/>
    <w:rsid w:val="006C4F77"/>
    <w:rsid w:val="006C5EAF"/>
    <w:rsid w:val="006E27B7"/>
    <w:rsid w:val="006E34B4"/>
    <w:rsid w:val="006E39A4"/>
    <w:rsid w:val="006E3D48"/>
    <w:rsid w:val="006E6320"/>
    <w:rsid w:val="006E66C9"/>
    <w:rsid w:val="006E68C6"/>
    <w:rsid w:val="006E7067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1111"/>
    <w:rsid w:val="00702AAE"/>
    <w:rsid w:val="00705D2D"/>
    <w:rsid w:val="007067F5"/>
    <w:rsid w:val="007074E4"/>
    <w:rsid w:val="00712AFE"/>
    <w:rsid w:val="00712D02"/>
    <w:rsid w:val="00713861"/>
    <w:rsid w:val="0071491B"/>
    <w:rsid w:val="00714D87"/>
    <w:rsid w:val="0071706B"/>
    <w:rsid w:val="00717E4B"/>
    <w:rsid w:val="00720050"/>
    <w:rsid w:val="0072023B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D4F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25C"/>
    <w:rsid w:val="00770435"/>
    <w:rsid w:val="00770690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A9"/>
    <w:rsid w:val="007839D1"/>
    <w:rsid w:val="00785DEA"/>
    <w:rsid w:val="00786321"/>
    <w:rsid w:val="00786AF8"/>
    <w:rsid w:val="00786BB8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B67F5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460"/>
    <w:rsid w:val="00850C10"/>
    <w:rsid w:val="00850E34"/>
    <w:rsid w:val="00850ED7"/>
    <w:rsid w:val="0085169D"/>
    <w:rsid w:val="00851DD4"/>
    <w:rsid w:val="00852C44"/>
    <w:rsid w:val="0085387B"/>
    <w:rsid w:val="00853E33"/>
    <w:rsid w:val="00854107"/>
    <w:rsid w:val="008542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5934"/>
    <w:rsid w:val="008766A3"/>
    <w:rsid w:val="00876ED5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6B9"/>
    <w:rsid w:val="008A02F7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0DD7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5A94"/>
    <w:rsid w:val="008E6DB9"/>
    <w:rsid w:val="008E7B62"/>
    <w:rsid w:val="008E7FA6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1356"/>
    <w:rsid w:val="009121C1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33F9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52A0"/>
    <w:rsid w:val="00965AC5"/>
    <w:rsid w:val="009663A6"/>
    <w:rsid w:val="009706F5"/>
    <w:rsid w:val="0097299A"/>
    <w:rsid w:val="0097344D"/>
    <w:rsid w:val="009739D5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69F6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1F5C"/>
    <w:rsid w:val="009D2AA3"/>
    <w:rsid w:val="009D33A9"/>
    <w:rsid w:val="009D3C88"/>
    <w:rsid w:val="009D3F3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9AA"/>
    <w:rsid w:val="00A00082"/>
    <w:rsid w:val="00A00300"/>
    <w:rsid w:val="00A0394A"/>
    <w:rsid w:val="00A06A58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7880"/>
    <w:rsid w:val="00A37E10"/>
    <w:rsid w:val="00A40C62"/>
    <w:rsid w:val="00A4113E"/>
    <w:rsid w:val="00A423A0"/>
    <w:rsid w:val="00A42B91"/>
    <w:rsid w:val="00A4399B"/>
    <w:rsid w:val="00A4426D"/>
    <w:rsid w:val="00A45114"/>
    <w:rsid w:val="00A456BF"/>
    <w:rsid w:val="00A46A71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4FB3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B8F"/>
    <w:rsid w:val="00AC7FBD"/>
    <w:rsid w:val="00AD22A5"/>
    <w:rsid w:val="00AD50E6"/>
    <w:rsid w:val="00AD5B02"/>
    <w:rsid w:val="00AD7536"/>
    <w:rsid w:val="00AD7D0B"/>
    <w:rsid w:val="00AE162B"/>
    <w:rsid w:val="00AE1D4B"/>
    <w:rsid w:val="00AE2AC1"/>
    <w:rsid w:val="00AE57CA"/>
    <w:rsid w:val="00AE5C76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D2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C7073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01D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3668"/>
    <w:rsid w:val="00C13F51"/>
    <w:rsid w:val="00C1400B"/>
    <w:rsid w:val="00C1408C"/>
    <w:rsid w:val="00C14DFB"/>
    <w:rsid w:val="00C1508A"/>
    <w:rsid w:val="00C1519F"/>
    <w:rsid w:val="00C15C43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667EC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C5D"/>
    <w:rsid w:val="00C86E9C"/>
    <w:rsid w:val="00C93195"/>
    <w:rsid w:val="00C938C2"/>
    <w:rsid w:val="00C94DA4"/>
    <w:rsid w:val="00C959F8"/>
    <w:rsid w:val="00C96862"/>
    <w:rsid w:val="00C97173"/>
    <w:rsid w:val="00CA073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097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E7766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61D"/>
    <w:rsid w:val="00D2078B"/>
    <w:rsid w:val="00D20B82"/>
    <w:rsid w:val="00D20DF7"/>
    <w:rsid w:val="00D243CC"/>
    <w:rsid w:val="00D24925"/>
    <w:rsid w:val="00D24AE4"/>
    <w:rsid w:val="00D314A6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0971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2AA"/>
    <w:rsid w:val="00D93641"/>
    <w:rsid w:val="00D93D3A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D0B05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A7A"/>
    <w:rsid w:val="00E03F94"/>
    <w:rsid w:val="00E0422E"/>
    <w:rsid w:val="00E06294"/>
    <w:rsid w:val="00E07360"/>
    <w:rsid w:val="00E111F8"/>
    <w:rsid w:val="00E1158D"/>
    <w:rsid w:val="00E13135"/>
    <w:rsid w:val="00E13466"/>
    <w:rsid w:val="00E139A8"/>
    <w:rsid w:val="00E13DA4"/>
    <w:rsid w:val="00E15168"/>
    <w:rsid w:val="00E1622C"/>
    <w:rsid w:val="00E20C2D"/>
    <w:rsid w:val="00E22550"/>
    <w:rsid w:val="00E22A89"/>
    <w:rsid w:val="00E22C22"/>
    <w:rsid w:val="00E232B5"/>
    <w:rsid w:val="00E23DB0"/>
    <w:rsid w:val="00E2448A"/>
    <w:rsid w:val="00E25911"/>
    <w:rsid w:val="00E259F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456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87B3A"/>
    <w:rsid w:val="00E9000D"/>
    <w:rsid w:val="00E90CA0"/>
    <w:rsid w:val="00E921BC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FD9"/>
    <w:rsid w:val="00EC1105"/>
    <w:rsid w:val="00EC132E"/>
    <w:rsid w:val="00EC1B85"/>
    <w:rsid w:val="00EC3B7D"/>
    <w:rsid w:val="00EC4B11"/>
    <w:rsid w:val="00EC4D1B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1C6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705F"/>
    <w:rsid w:val="00EF7A8B"/>
    <w:rsid w:val="00F02C4E"/>
    <w:rsid w:val="00F03FC1"/>
    <w:rsid w:val="00F04034"/>
    <w:rsid w:val="00F053A1"/>
    <w:rsid w:val="00F05B9F"/>
    <w:rsid w:val="00F07A52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735A"/>
    <w:rsid w:val="00F31106"/>
    <w:rsid w:val="00F312F0"/>
    <w:rsid w:val="00F31C45"/>
    <w:rsid w:val="00F340D4"/>
    <w:rsid w:val="00F343F7"/>
    <w:rsid w:val="00F35A3D"/>
    <w:rsid w:val="00F36901"/>
    <w:rsid w:val="00F36D3D"/>
    <w:rsid w:val="00F37D7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3B6C"/>
    <w:rsid w:val="00F64C73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B57B7"/>
    <w:rsid w:val="00FC00C5"/>
    <w:rsid w:val="00FC012F"/>
    <w:rsid w:val="00FC0997"/>
    <w:rsid w:val="00FC1DFB"/>
    <w:rsid w:val="00FC30D8"/>
    <w:rsid w:val="00FC3712"/>
    <w:rsid w:val="00FC4235"/>
    <w:rsid w:val="00FC5B72"/>
    <w:rsid w:val="00FC6315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3658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25E06337"/>
  <w15:docId w15:val="{1300DEB5-EC4F-44E0-B1EF-97A071D344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ochazkova.l@kr-vysocina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xc4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k.kr-vysocina.cz/profile_display_111.htm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B16B-BCBF-4C6C-BA3C-4C23021B3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11</Pages>
  <Words>4021</Words>
  <Characters>24451</Characters>
  <Application>Microsoft Office Word</Application>
  <DocSecurity>0</DocSecurity>
  <Lines>203</Lines>
  <Paragraphs>56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28416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22</cp:revision>
  <cp:lastPrinted>2021-11-26T06:47:00Z</cp:lastPrinted>
  <dcterms:created xsi:type="dcterms:W3CDTF">2021-11-25T13:44:00Z</dcterms:created>
  <dcterms:modified xsi:type="dcterms:W3CDTF">2022-11-02T13:42:00Z</dcterms:modified>
</cp:coreProperties>
</file>